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804" w:rsidRPr="00E871B9" w:rsidRDefault="000F37AA" w:rsidP="00534804">
      <w:pPr>
        <w:rPr>
          <w:rFonts w:cs="Arial"/>
          <w:sz w:val="20"/>
          <w:szCs w:val="20"/>
        </w:rPr>
      </w:pPr>
      <w:bookmarkStart w:id="0" w:name="_GoBack"/>
      <w:bookmarkEnd w:id="0"/>
      <w:r>
        <w:rPr>
          <w:noProof/>
          <w:lang w:eastAsia="en-GB"/>
        </w:rPr>
        <w:drawing>
          <wp:anchor distT="0" distB="0" distL="114300" distR="114300" simplePos="0" relativeHeight="251659264" behindDoc="0" locked="0" layoutInCell="1" allowOverlap="1" wp14:anchorId="3798C81A" wp14:editId="7B417165">
            <wp:simplePos x="0" y="0"/>
            <wp:positionH relativeFrom="column">
              <wp:posOffset>2265045</wp:posOffset>
            </wp:positionH>
            <wp:positionV relativeFrom="paragraph">
              <wp:posOffset>-569595</wp:posOffset>
            </wp:positionV>
            <wp:extent cx="1430655" cy="1036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OMA small.jpg"/>
                    <pic:cNvPicPr/>
                  </pic:nvPicPr>
                  <pic:blipFill>
                    <a:blip r:embed="rId9">
                      <a:extLst>
                        <a:ext uri="{28A0092B-C50C-407E-A947-70E740481C1C}">
                          <a14:useLocalDpi xmlns:a14="http://schemas.microsoft.com/office/drawing/2010/main" val="0"/>
                        </a:ext>
                      </a:extLst>
                    </a:blip>
                    <a:stretch>
                      <a:fillRect/>
                    </a:stretch>
                  </pic:blipFill>
                  <pic:spPr>
                    <a:xfrm>
                      <a:off x="0" y="0"/>
                      <a:ext cx="1430655" cy="1036320"/>
                    </a:xfrm>
                    <a:prstGeom prst="rect">
                      <a:avLst/>
                    </a:prstGeom>
                  </pic:spPr>
                </pic:pic>
              </a:graphicData>
            </a:graphic>
            <wp14:sizeRelH relativeFrom="page">
              <wp14:pctWidth>0</wp14:pctWidth>
            </wp14:sizeRelH>
            <wp14:sizeRelV relativeFrom="page">
              <wp14:pctHeight>0</wp14:pctHeight>
            </wp14:sizeRelV>
          </wp:anchor>
        </w:drawing>
      </w:r>
    </w:p>
    <w:p w:rsidR="00534804" w:rsidRDefault="00534804" w:rsidP="00534804">
      <w:pPr>
        <w:rPr>
          <w:rFonts w:cs="Arial"/>
          <w:sz w:val="20"/>
          <w:szCs w:val="20"/>
        </w:rPr>
      </w:pPr>
    </w:p>
    <w:p w:rsidR="00B94C6E" w:rsidRDefault="00534804" w:rsidP="000F37AA">
      <w:pPr>
        <w:tabs>
          <w:tab w:val="left" w:pos="3890"/>
        </w:tabs>
        <w:rPr>
          <w:sz w:val="28"/>
          <w:szCs w:val="28"/>
        </w:rPr>
      </w:pPr>
      <w:r>
        <w:rPr>
          <w:rFonts w:cs="Arial"/>
          <w:sz w:val="20"/>
          <w:szCs w:val="20"/>
        </w:rPr>
        <w:tab/>
      </w:r>
    </w:p>
    <w:p w:rsidR="00B94C6E" w:rsidRPr="004850BB" w:rsidRDefault="00534804" w:rsidP="00B94C6E">
      <w:pPr>
        <w:pStyle w:val="Header"/>
        <w:jc w:val="center"/>
        <w:rPr>
          <w:rFonts w:cs="Arial"/>
          <w:sz w:val="16"/>
          <w:szCs w:val="16"/>
        </w:rPr>
      </w:pPr>
      <w:r>
        <w:rPr>
          <w:rFonts w:cs="Arial"/>
          <w:sz w:val="16"/>
          <w:szCs w:val="16"/>
        </w:rPr>
        <w:t xml:space="preserve">   </w:t>
      </w:r>
      <w:r w:rsidR="00B94C6E" w:rsidRPr="004850BB">
        <w:rPr>
          <w:rFonts w:cs="Arial"/>
          <w:sz w:val="16"/>
          <w:szCs w:val="16"/>
        </w:rPr>
        <w:t>The Special Interest Group of Municipal Authorities (Outside London)</w:t>
      </w:r>
    </w:p>
    <w:p w:rsidR="00534804" w:rsidRPr="000F37AA" w:rsidRDefault="00534804" w:rsidP="000F37AA">
      <w:pPr>
        <w:tabs>
          <w:tab w:val="left" w:pos="426"/>
        </w:tabs>
        <w:rPr>
          <w:b/>
          <w:sz w:val="16"/>
          <w:szCs w:val="16"/>
        </w:rPr>
      </w:pPr>
    </w:p>
    <w:p w:rsidR="004B36BA" w:rsidRDefault="00534804" w:rsidP="00534804">
      <w:pPr>
        <w:tabs>
          <w:tab w:val="left" w:pos="426"/>
        </w:tabs>
        <w:jc w:val="center"/>
        <w:rPr>
          <w:b/>
          <w:sz w:val="28"/>
          <w:szCs w:val="28"/>
        </w:rPr>
      </w:pPr>
      <w:r w:rsidRPr="00534804">
        <w:rPr>
          <w:b/>
          <w:sz w:val="28"/>
          <w:szCs w:val="28"/>
        </w:rPr>
        <w:t>SIG</w:t>
      </w:r>
      <w:r w:rsidR="00623026">
        <w:rPr>
          <w:b/>
          <w:sz w:val="28"/>
          <w:szCs w:val="28"/>
        </w:rPr>
        <w:t>OMA RESPONSE TO THE 2020-21</w:t>
      </w:r>
      <w:r w:rsidR="00427114">
        <w:rPr>
          <w:b/>
          <w:sz w:val="28"/>
          <w:szCs w:val="28"/>
        </w:rPr>
        <w:t xml:space="preserve"> </w:t>
      </w:r>
      <w:r w:rsidR="00623026">
        <w:rPr>
          <w:b/>
          <w:sz w:val="28"/>
          <w:szCs w:val="28"/>
        </w:rPr>
        <w:t xml:space="preserve">PROVISIONAL </w:t>
      </w:r>
      <w:r w:rsidRPr="00534804">
        <w:rPr>
          <w:b/>
          <w:sz w:val="28"/>
          <w:szCs w:val="28"/>
        </w:rPr>
        <w:t>LOC</w:t>
      </w:r>
      <w:r w:rsidR="00623026">
        <w:rPr>
          <w:b/>
          <w:sz w:val="28"/>
          <w:szCs w:val="28"/>
        </w:rPr>
        <w:t xml:space="preserve">AL GOVERNMENT FINANCE </w:t>
      </w:r>
      <w:r w:rsidR="00777ADC">
        <w:rPr>
          <w:b/>
          <w:sz w:val="28"/>
          <w:szCs w:val="28"/>
        </w:rPr>
        <w:t xml:space="preserve">SETTLEMENT </w:t>
      </w:r>
      <w:r w:rsidR="00427114">
        <w:rPr>
          <w:b/>
          <w:sz w:val="28"/>
          <w:szCs w:val="28"/>
        </w:rPr>
        <w:t>CONSULTATION</w:t>
      </w:r>
    </w:p>
    <w:p w:rsidR="00534804" w:rsidRPr="000F37AA" w:rsidRDefault="00534804" w:rsidP="00534804">
      <w:pPr>
        <w:tabs>
          <w:tab w:val="left" w:pos="426"/>
        </w:tabs>
        <w:jc w:val="center"/>
        <w:rPr>
          <w:b/>
          <w:sz w:val="16"/>
          <w:szCs w:val="16"/>
        </w:rPr>
      </w:pPr>
    </w:p>
    <w:p w:rsidR="004B36BA" w:rsidRPr="001D10D3" w:rsidRDefault="004B36BA" w:rsidP="001D10D3">
      <w:pPr>
        <w:pStyle w:val="ListParagraph"/>
        <w:numPr>
          <w:ilvl w:val="0"/>
          <w:numId w:val="3"/>
        </w:numPr>
        <w:tabs>
          <w:tab w:val="left" w:pos="426"/>
        </w:tabs>
        <w:spacing w:line="240" w:lineRule="auto"/>
        <w:ind w:left="0" w:firstLine="0"/>
        <w:rPr>
          <w:b/>
        </w:rPr>
      </w:pPr>
      <w:r w:rsidRPr="001D10D3">
        <w:rPr>
          <w:b/>
        </w:rPr>
        <w:t>About SIGOMA</w:t>
      </w:r>
    </w:p>
    <w:p w:rsidR="004B36BA" w:rsidRPr="003809DB" w:rsidRDefault="004B36BA" w:rsidP="001D10D3">
      <w:pPr>
        <w:pStyle w:val="ListParagraph"/>
        <w:numPr>
          <w:ilvl w:val="1"/>
          <w:numId w:val="3"/>
        </w:numPr>
        <w:tabs>
          <w:tab w:val="left" w:pos="426"/>
        </w:tabs>
        <w:spacing w:line="240" w:lineRule="auto"/>
        <w:ind w:left="0" w:firstLine="0"/>
      </w:pPr>
      <w:r w:rsidRPr="003809DB">
        <w:t>This submission is made on behalf of SIGOMA, the Special Interest Group of Municipal Authorities</w:t>
      </w:r>
      <w:r>
        <w:t>.</w:t>
      </w:r>
      <w:r w:rsidR="00983336">
        <w:t xml:space="preserve"> We welcome the opportunity to respond to the consultation.</w:t>
      </w:r>
    </w:p>
    <w:p w:rsidR="004B36BA" w:rsidRPr="003809DB" w:rsidRDefault="004B36BA" w:rsidP="00A02BEC">
      <w:pPr>
        <w:tabs>
          <w:tab w:val="left" w:pos="426"/>
        </w:tabs>
      </w:pPr>
    </w:p>
    <w:p w:rsidR="00427114" w:rsidRDefault="004B36BA" w:rsidP="001D10D3">
      <w:pPr>
        <w:pStyle w:val="ListParagraph"/>
        <w:numPr>
          <w:ilvl w:val="1"/>
          <w:numId w:val="3"/>
        </w:numPr>
        <w:tabs>
          <w:tab w:val="left" w:pos="426"/>
        </w:tabs>
        <w:spacing w:line="240" w:lineRule="auto"/>
        <w:ind w:left="0" w:firstLine="0"/>
      </w:pPr>
      <w:r w:rsidRPr="003809DB">
        <w:t>SIGOMA is a special inter</w:t>
      </w:r>
      <w:r w:rsidR="00427114">
        <w:t>est group (within the LGA) representing</w:t>
      </w:r>
      <w:r w:rsidR="00F94111">
        <w:t xml:space="preserve"> 47</w:t>
      </w:r>
      <w:r w:rsidRPr="003809DB">
        <w:t xml:space="preserve"> l</w:t>
      </w:r>
      <w:r w:rsidR="00427114">
        <w:t xml:space="preserve">ocal authorities covering key urban areas in the North West </w:t>
      </w:r>
      <w:r w:rsidRPr="003809DB">
        <w:t xml:space="preserve">, </w:t>
      </w:r>
      <w:r w:rsidR="00427114">
        <w:t>East and West M</w:t>
      </w:r>
      <w:r w:rsidRPr="003809DB">
        <w:t>idland</w:t>
      </w:r>
      <w:r w:rsidR="00427114">
        <w:t>s, the North East, Y</w:t>
      </w:r>
      <w:r w:rsidR="00BA46D9">
        <w:t>orkshire &amp;</w:t>
      </w:r>
      <w:r w:rsidR="00427114">
        <w:t xml:space="preserve"> Humberside and the South-coast ;</w:t>
      </w:r>
      <w:r w:rsidRPr="003809DB">
        <w:t xml:space="preserve"> consisting of </w:t>
      </w:r>
      <w:r w:rsidR="00F94111">
        <w:t>33</w:t>
      </w:r>
      <w:r>
        <w:t xml:space="preserve"> metropolitan districts and 14</w:t>
      </w:r>
      <w:r w:rsidRPr="003809DB">
        <w:t xml:space="preserve"> major unitary authorities.</w:t>
      </w:r>
    </w:p>
    <w:p w:rsidR="00427114" w:rsidRDefault="00427114" w:rsidP="00427114">
      <w:pPr>
        <w:pStyle w:val="ListParagraph"/>
      </w:pPr>
    </w:p>
    <w:p w:rsidR="00427114" w:rsidRDefault="00292FFD" w:rsidP="001D10D3">
      <w:pPr>
        <w:pStyle w:val="ListParagraph"/>
        <w:numPr>
          <w:ilvl w:val="1"/>
          <w:numId w:val="3"/>
        </w:numPr>
        <w:tabs>
          <w:tab w:val="left" w:pos="426"/>
        </w:tabs>
        <w:spacing w:line="240" w:lineRule="auto"/>
        <w:ind w:left="0" w:firstLine="0"/>
      </w:pPr>
      <w:r>
        <w:t>SIGOMA c</w:t>
      </w:r>
      <w:r w:rsidR="00801064">
        <w:t>ouncils comprise 6.1</w:t>
      </w:r>
      <w:r w:rsidR="00E17345">
        <w:t xml:space="preserve"> million </w:t>
      </w:r>
      <w:r w:rsidR="00801064">
        <w:t>households</w:t>
      </w:r>
      <w:r w:rsidR="00E17345">
        <w:t xml:space="preserve">, </w:t>
      </w:r>
      <w:r w:rsidR="00801064">
        <w:t>over 25% of England’s total</w:t>
      </w:r>
      <w:r w:rsidR="00801064">
        <w:rPr>
          <w:rStyle w:val="FootnoteReference"/>
        </w:rPr>
        <w:footnoteReference w:id="1"/>
      </w:r>
      <w:r w:rsidR="00E17345">
        <w:t xml:space="preserve">. </w:t>
      </w:r>
      <w:r w:rsidR="00A71027">
        <w:t>However SIGOMA collect just 19 percent of the nation’s total Counci</w:t>
      </w:r>
      <w:r w:rsidR="00F263F1">
        <w:t>l Tax and 18.6% of the nation’s</w:t>
      </w:r>
      <w:r w:rsidR="00A71027">
        <w:t xml:space="preserve"> </w:t>
      </w:r>
      <w:r w:rsidR="004A62FE">
        <w:t>business rates</w:t>
      </w:r>
      <w:r w:rsidR="00F263F1">
        <w:t>,</w:t>
      </w:r>
      <w:r w:rsidR="004A62FE">
        <w:t xml:space="preserve"> according to 2019-20 estimates</w:t>
      </w:r>
      <w:r w:rsidR="00F263F1">
        <w:rPr>
          <w:rStyle w:val="FootnoteReference"/>
        </w:rPr>
        <w:footnoteReference w:id="2"/>
      </w:r>
      <w:r w:rsidR="00A71027">
        <w:t>.</w:t>
      </w:r>
    </w:p>
    <w:p w:rsidR="00427114" w:rsidRDefault="00427114" w:rsidP="00427114">
      <w:pPr>
        <w:pStyle w:val="ListParagraph"/>
      </w:pPr>
    </w:p>
    <w:p w:rsidR="00266278" w:rsidRDefault="00471921" w:rsidP="001D10D3">
      <w:pPr>
        <w:pStyle w:val="ListParagraph"/>
        <w:numPr>
          <w:ilvl w:val="1"/>
          <w:numId w:val="3"/>
        </w:numPr>
        <w:tabs>
          <w:tab w:val="left" w:pos="426"/>
        </w:tabs>
        <w:spacing w:line="240" w:lineRule="auto"/>
        <w:ind w:left="0" w:firstLine="0"/>
      </w:pPr>
      <w:r>
        <w:t>At the same time our members</w:t>
      </w:r>
      <w:r w:rsidR="004B36BA">
        <w:t xml:space="preserve"> are striving to provide services to a </w:t>
      </w:r>
      <w:r w:rsidR="000E779E">
        <w:t xml:space="preserve">population that includes a </w:t>
      </w:r>
      <w:r w:rsidR="006F1D83">
        <w:t>disproportionately high number</w:t>
      </w:r>
      <w:r w:rsidR="004B36BA">
        <w:t xml:space="preserve"> of those most affected b</w:t>
      </w:r>
      <w:r w:rsidR="00BA46D9">
        <w:t>y changes to the welfare system. For example</w:t>
      </w:r>
      <w:r w:rsidR="006606CC">
        <w:t xml:space="preserve"> over 1/3</w:t>
      </w:r>
      <w:r w:rsidR="006606CC" w:rsidRPr="006606CC">
        <w:rPr>
          <w:vertAlign w:val="superscript"/>
        </w:rPr>
        <w:t>rd</w:t>
      </w:r>
      <w:r w:rsidR="006606CC">
        <w:t xml:space="preserve"> </w:t>
      </w:r>
      <w:r w:rsidR="00BB6C45">
        <w:t xml:space="preserve">of unemployment benefit claimants </w:t>
      </w:r>
      <w:r>
        <w:t>are</w:t>
      </w:r>
      <w:r w:rsidR="00BB6C45">
        <w:t xml:space="preserve"> from SIGOMA council areas</w:t>
      </w:r>
      <w:r w:rsidR="00BB6C45">
        <w:rPr>
          <w:rStyle w:val="FootnoteReference"/>
        </w:rPr>
        <w:footnoteReference w:id="3"/>
      </w:r>
      <w:r w:rsidR="0016442C">
        <w:t xml:space="preserve"> and 36</w:t>
      </w:r>
      <w:r w:rsidR="00BA46D9">
        <w:t>% of all looked after children</w:t>
      </w:r>
      <w:r w:rsidR="0016442C">
        <w:rPr>
          <w:rStyle w:val="FootnoteReference"/>
        </w:rPr>
        <w:footnoteReference w:id="4"/>
      </w:r>
      <w:r w:rsidR="00BA46D9">
        <w:t>.</w:t>
      </w:r>
    </w:p>
    <w:p w:rsidR="00446736" w:rsidRDefault="00446736" w:rsidP="00446736">
      <w:pPr>
        <w:pStyle w:val="ListParagraph"/>
      </w:pPr>
    </w:p>
    <w:p w:rsidR="00446736" w:rsidRDefault="00446736" w:rsidP="001D10D3">
      <w:pPr>
        <w:pStyle w:val="ListParagraph"/>
        <w:numPr>
          <w:ilvl w:val="1"/>
          <w:numId w:val="3"/>
        </w:numPr>
        <w:tabs>
          <w:tab w:val="left" w:pos="426"/>
        </w:tabs>
        <w:spacing w:line="240" w:lineRule="auto"/>
        <w:ind w:left="0" w:firstLine="0"/>
      </w:pPr>
      <w:r>
        <w:t xml:space="preserve">Members were encouraged by the Prime Ministers speech on the steps of Downing </w:t>
      </w:r>
      <w:proofErr w:type="gramStart"/>
      <w:r>
        <w:t>street</w:t>
      </w:r>
      <w:proofErr w:type="gramEnd"/>
      <w:r>
        <w:t xml:space="preserve"> </w:t>
      </w:r>
      <w:r w:rsidR="008C7DE5">
        <w:t xml:space="preserve">in </w:t>
      </w:r>
      <w:r>
        <w:t xml:space="preserve">which </w:t>
      </w:r>
      <w:r w:rsidR="008C7DE5">
        <w:t xml:space="preserve">he </w:t>
      </w:r>
      <w:r>
        <w:t>promised a levelling up across the country. This matches our aspirations for the settlement, which we feel so far has fallen short in two key areas.</w:t>
      </w:r>
    </w:p>
    <w:p w:rsidR="00446736" w:rsidRDefault="00446736" w:rsidP="00446736">
      <w:pPr>
        <w:pStyle w:val="ListParagraph"/>
        <w:tabs>
          <w:tab w:val="left" w:pos="426"/>
        </w:tabs>
        <w:spacing w:line="240" w:lineRule="auto"/>
        <w:ind w:left="0"/>
      </w:pPr>
    </w:p>
    <w:p w:rsidR="006606CC" w:rsidRDefault="00446736" w:rsidP="00BE6208">
      <w:pPr>
        <w:pStyle w:val="ListParagraph"/>
        <w:numPr>
          <w:ilvl w:val="0"/>
          <w:numId w:val="8"/>
        </w:numPr>
        <w:tabs>
          <w:tab w:val="left" w:pos="426"/>
        </w:tabs>
        <w:spacing w:line="240" w:lineRule="auto"/>
      </w:pPr>
      <w:r>
        <w:t>matching funding</w:t>
      </w:r>
      <w:r w:rsidR="006606CC">
        <w:t xml:space="preserve"> nee</w:t>
      </w:r>
      <w:r>
        <w:t>d and the cost of services, particularly care services</w:t>
      </w:r>
      <w:r w:rsidR="00BA46D9">
        <w:t xml:space="preserve"> </w:t>
      </w:r>
    </w:p>
    <w:p w:rsidR="006606CC" w:rsidRDefault="006606CC" w:rsidP="00BE6208">
      <w:pPr>
        <w:pStyle w:val="ListParagraph"/>
      </w:pPr>
    </w:p>
    <w:p w:rsidR="00BA46D9" w:rsidRDefault="004E7A00" w:rsidP="00BE6208">
      <w:pPr>
        <w:pStyle w:val="ListParagraph"/>
        <w:numPr>
          <w:ilvl w:val="0"/>
          <w:numId w:val="8"/>
        </w:numPr>
        <w:tabs>
          <w:tab w:val="left" w:pos="426"/>
        </w:tabs>
        <w:spacing w:line="240" w:lineRule="auto"/>
      </w:pPr>
      <w:proofErr w:type="gramStart"/>
      <w:r>
        <w:t>recognition</w:t>
      </w:r>
      <w:proofErr w:type="gramEnd"/>
      <w:r>
        <w:t xml:space="preserve"> of</w:t>
      </w:r>
      <w:r w:rsidR="006606CC">
        <w:t xml:space="preserve"> the </w:t>
      </w:r>
      <w:r>
        <w:t xml:space="preserve">variation </w:t>
      </w:r>
      <w:r w:rsidR="0073782B">
        <w:t>in tax</w:t>
      </w:r>
      <w:r>
        <w:t xml:space="preserve"> raising capacity of councils reflecting the </w:t>
      </w:r>
      <w:r w:rsidR="006606CC">
        <w:t>strengths and weaknesses in lo</w:t>
      </w:r>
      <w:r w:rsidR="00696C42">
        <w:t xml:space="preserve">cal economies that </w:t>
      </w:r>
      <w:r w:rsidR="006606CC">
        <w:t>has been underpinned by varying infrastructure investment</w:t>
      </w:r>
      <w:r w:rsidR="00BE6208">
        <w:t>.</w:t>
      </w:r>
    </w:p>
    <w:p w:rsidR="006606CC" w:rsidRDefault="006606CC" w:rsidP="006606CC">
      <w:pPr>
        <w:pStyle w:val="ListParagraph"/>
      </w:pPr>
    </w:p>
    <w:p w:rsidR="005F023E" w:rsidRPr="005F023E" w:rsidRDefault="005F023E" w:rsidP="005F023E">
      <w:pPr>
        <w:pStyle w:val="ListParagraph"/>
        <w:numPr>
          <w:ilvl w:val="0"/>
          <w:numId w:val="3"/>
        </w:numPr>
        <w:tabs>
          <w:tab w:val="left" w:pos="426"/>
        </w:tabs>
        <w:spacing w:line="240" w:lineRule="auto"/>
        <w:rPr>
          <w:b/>
        </w:rPr>
      </w:pPr>
      <w:r w:rsidRPr="005F023E">
        <w:rPr>
          <w:b/>
        </w:rPr>
        <w:t>Extension of the Re-set Period</w:t>
      </w:r>
    </w:p>
    <w:p w:rsidR="005F023E" w:rsidRDefault="005F023E" w:rsidP="005F023E">
      <w:pPr>
        <w:pStyle w:val="ListParagraph"/>
        <w:tabs>
          <w:tab w:val="left" w:pos="426"/>
        </w:tabs>
        <w:spacing w:line="240" w:lineRule="auto"/>
        <w:ind w:left="360"/>
      </w:pPr>
    </w:p>
    <w:p w:rsidR="006606CC" w:rsidRDefault="0038361C" w:rsidP="004A62FE">
      <w:pPr>
        <w:pStyle w:val="ListParagraph"/>
        <w:numPr>
          <w:ilvl w:val="1"/>
          <w:numId w:val="3"/>
        </w:numPr>
        <w:tabs>
          <w:tab w:val="left" w:pos="426"/>
        </w:tabs>
        <w:spacing w:line="240" w:lineRule="auto"/>
        <w:ind w:left="0" w:firstLine="0"/>
      </w:pPr>
      <w:r>
        <w:t>Since</w:t>
      </w:r>
      <w:r w:rsidR="001D066E">
        <w:t xml:space="preserve"> the introduction of business rate retention in 2013</w:t>
      </w:r>
      <w:r w:rsidR="0085767D">
        <w:t xml:space="preserve"> income from business rates has grown organically and through inflation by around </w:t>
      </w:r>
      <w:r w:rsidR="00DE24BA">
        <w:t>£3 billion (</w:t>
      </w:r>
      <w:r w:rsidR="0085767D">
        <w:t>30%</w:t>
      </w:r>
      <w:r w:rsidR="00DE24BA">
        <w:t>)</w:t>
      </w:r>
      <w:r w:rsidR="0085767D">
        <w:t xml:space="preserve"> </w:t>
      </w:r>
      <w:r w:rsidR="0085767D">
        <w:rPr>
          <w:rStyle w:val="FootnoteReference"/>
        </w:rPr>
        <w:footnoteReference w:id="5"/>
      </w:r>
      <w:r w:rsidR="0085767D">
        <w:t xml:space="preserve">, much </w:t>
      </w:r>
      <w:r w:rsidR="00F50197">
        <w:t>of that growth unrecognised in C</w:t>
      </w:r>
      <w:r w:rsidR="0085767D">
        <w:t xml:space="preserve">ore </w:t>
      </w:r>
      <w:r w:rsidR="00F50197">
        <w:t>S</w:t>
      </w:r>
      <w:r w:rsidR="0085767D">
        <w:t xml:space="preserve">pending </w:t>
      </w:r>
      <w:r w:rsidR="00F50197">
        <w:t>P</w:t>
      </w:r>
      <w:r w:rsidR="00446736">
        <w:t>ower.</w:t>
      </w:r>
      <w:r>
        <w:t xml:space="preserve"> </w:t>
      </w:r>
      <w:r w:rsidR="00DE24BA">
        <w:t>Over the same period, i</w:t>
      </w:r>
      <w:r w:rsidR="0085767D">
        <w:t>ncome from Council Tax has grown by</w:t>
      </w:r>
      <w:r w:rsidR="00DE24BA">
        <w:t xml:space="preserve"> £6.2 billion (</w:t>
      </w:r>
      <w:r w:rsidR="0085767D">
        <w:t>31%</w:t>
      </w:r>
      <w:r w:rsidR="00DE24BA">
        <w:t>)</w:t>
      </w:r>
      <w:r w:rsidR="0085767D">
        <w:t xml:space="preserve"> inc</w:t>
      </w:r>
      <w:r w:rsidR="00DE24BA">
        <w:t>luding the social care precept</w:t>
      </w:r>
      <w:r w:rsidR="00CC3C05">
        <w:t>, and</w:t>
      </w:r>
      <w:r w:rsidR="00DE24BA">
        <w:t xml:space="preserve"> New Homes Bonus has paid</w:t>
      </w:r>
      <w:r w:rsidR="00821440">
        <w:t xml:space="preserve"> £7.3 billion </w:t>
      </w:r>
      <w:r w:rsidR="00DE24BA">
        <w:t xml:space="preserve">as an </w:t>
      </w:r>
      <w:proofErr w:type="gramStart"/>
      <w:r w:rsidR="00DE24BA">
        <w:t>unringfenced  housing</w:t>
      </w:r>
      <w:proofErr w:type="gramEnd"/>
      <w:r w:rsidR="00DE24BA">
        <w:t xml:space="preserve"> growth incentive.</w:t>
      </w:r>
    </w:p>
    <w:p w:rsidR="006606CC" w:rsidRDefault="006606CC" w:rsidP="006606CC">
      <w:pPr>
        <w:pStyle w:val="ListParagraph"/>
      </w:pPr>
    </w:p>
    <w:p w:rsidR="006606CC" w:rsidRDefault="00696C42" w:rsidP="004A62FE">
      <w:pPr>
        <w:pStyle w:val="ListParagraph"/>
        <w:numPr>
          <w:ilvl w:val="1"/>
          <w:numId w:val="3"/>
        </w:numPr>
        <w:tabs>
          <w:tab w:val="left" w:pos="426"/>
        </w:tabs>
        <w:spacing w:line="240" w:lineRule="auto"/>
        <w:ind w:left="0" w:firstLine="0"/>
      </w:pPr>
      <w:r>
        <w:t>Whilst</w:t>
      </w:r>
      <w:r w:rsidR="00DE24BA">
        <w:t xml:space="preserve"> incentive and growth allocations have increased</w:t>
      </w:r>
      <w:r>
        <w:t xml:space="preserve"> </w:t>
      </w:r>
      <w:r w:rsidR="00821440">
        <w:t>over 2013-14 to 2019-20</w:t>
      </w:r>
      <w:r w:rsidR="00F50197">
        <w:t>,</w:t>
      </w:r>
      <w:r w:rsidR="00821440">
        <w:t xml:space="preserve"> </w:t>
      </w:r>
      <w:r w:rsidR="00292FFD">
        <w:t>as described above, overall S</w:t>
      </w:r>
      <w:r>
        <w:t xml:space="preserve">ettlement funding has fallen by </w:t>
      </w:r>
      <w:r w:rsidR="00B9438C">
        <w:t xml:space="preserve">more than </w:t>
      </w:r>
      <w:r>
        <w:t>£</w:t>
      </w:r>
      <w:r w:rsidR="00B9438C">
        <w:t>1</w:t>
      </w:r>
      <w:r>
        <w:t>billion in cash terms.  This means that formula</w:t>
      </w:r>
      <w:r w:rsidR="00B9438C">
        <w:t>,</w:t>
      </w:r>
      <w:r w:rsidR="00CC3C05">
        <w:t xml:space="preserve"> needs-</w:t>
      </w:r>
      <w:r>
        <w:t xml:space="preserve">based funding has borne the overwhelming brunt of cuts. </w:t>
      </w:r>
      <w:r>
        <w:lastRenderedPageBreak/>
        <w:t>Revenue Support Grant fell from £15.2 billion in 2013-14 to £3.8</w:t>
      </w:r>
      <w:r w:rsidR="00B9438C">
        <w:t xml:space="preserve"> </w:t>
      </w:r>
      <w:r w:rsidR="004E7A00">
        <w:t>billion in 2017-18 and continued</w:t>
      </w:r>
      <w:r w:rsidR="00B9438C">
        <w:t xml:space="preserve"> to fall due</w:t>
      </w:r>
      <w:r w:rsidR="00CC3C05">
        <w:t xml:space="preserve"> to cuts in </w:t>
      </w:r>
      <w:r w:rsidR="00292FFD">
        <w:t>S</w:t>
      </w:r>
      <w:r w:rsidR="00CC3C05">
        <w:t xml:space="preserve">ettlement funding </w:t>
      </w:r>
      <w:r w:rsidR="00B9438C">
        <w:t>up to 2019-20.</w:t>
      </w:r>
    </w:p>
    <w:p w:rsidR="0038361C" w:rsidRDefault="0038361C" w:rsidP="0038361C">
      <w:pPr>
        <w:pStyle w:val="ListParagraph"/>
        <w:tabs>
          <w:tab w:val="left" w:pos="426"/>
        </w:tabs>
        <w:spacing w:line="240" w:lineRule="auto"/>
        <w:ind w:left="0"/>
      </w:pPr>
    </w:p>
    <w:p w:rsidR="005F023E" w:rsidRDefault="00B9438C" w:rsidP="004A62FE">
      <w:pPr>
        <w:pStyle w:val="ListParagraph"/>
        <w:numPr>
          <w:ilvl w:val="1"/>
          <w:numId w:val="3"/>
        </w:numPr>
        <w:tabs>
          <w:tab w:val="left" w:pos="426"/>
        </w:tabs>
        <w:spacing w:line="240" w:lineRule="auto"/>
        <w:ind w:left="0" w:firstLine="0"/>
      </w:pPr>
      <w:r>
        <w:t>This swing towards internally ge</w:t>
      </w:r>
      <w:r w:rsidR="00F50197">
        <w:t>nerated income and growth</w:t>
      </w:r>
      <w:r>
        <w:t xml:space="preserve"> benefits some authorities</w:t>
      </w:r>
      <w:r w:rsidR="008C7DE5">
        <w:t xml:space="preserve"> much more than others</w:t>
      </w:r>
      <w:r>
        <w:t xml:space="preserve"> and creates a better overall impression than is the case for many of our members.</w:t>
      </w:r>
      <w:r w:rsidR="00446736">
        <w:t xml:space="preserve">  </w:t>
      </w:r>
    </w:p>
    <w:p w:rsidR="005F023E" w:rsidRDefault="005F023E" w:rsidP="005F023E">
      <w:pPr>
        <w:pStyle w:val="ListParagraph"/>
        <w:tabs>
          <w:tab w:val="left" w:pos="426"/>
        </w:tabs>
        <w:spacing w:line="240" w:lineRule="auto"/>
        <w:ind w:left="0"/>
      </w:pPr>
    </w:p>
    <w:p w:rsidR="006606CC" w:rsidRDefault="00446736" w:rsidP="004A62FE">
      <w:pPr>
        <w:pStyle w:val="ListParagraph"/>
        <w:numPr>
          <w:ilvl w:val="1"/>
          <w:numId w:val="3"/>
        </w:numPr>
        <w:tabs>
          <w:tab w:val="left" w:pos="426"/>
        </w:tabs>
        <w:spacing w:line="240" w:lineRule="auto"/>
        <w:ind w:left="0" w:firstLine="0"/>
      </w:pPr>
      <w:r>
        <w:t xml:space="preserve">This is illustrated in the following chart which shows the magnitude of </w:t>
      </w:r>
      <w:r w:rsidR="0038361C">
        <w:t xml:space="preserve">the </w:t>
      </w:r>
      <w:r>
        <w:t xml:space="preserve">impact growth </w:t>
      </w:r>
      <w:r w:rsidR="005F023E">
        <w:t xml:space="preserve">in business rates </w:t>
      </w:r>
      <w:r>
        <w:t>above baselines has had</w:t>
      </w:r>
      <w:r w:rsidR="0038361C">
        <w:t xml:space="preserve"> relative to Core Spending Power</w:t>
      </w:r>
      <w:r>
        <w:t>. In the chart</w:t>
      </w:r>
      <w:r w:rsidR="008C7DE5">
        <w:t>,</w:t>
      </w:r>
      <w:r>
        <w:t xml:space="preserve"> we compare 2018-19</w:t>
      </w:r>
      <w:r w:rsidR="00B1203A">
        <w:rPr>
          <w:rStyle w:val="FootnoteReference"/>
        </w:rPr>
        <w:footnoteReference w:id="6"/>
      </w:r>
      <w:r>
        <w:t xml:space="preserve"> </w:t>
      </w:r>
      <w:r w:rsidR="0038361C">
        <w:t xml:space="preserve">business rates </w:t>
      </w:r>
      <w:r>
        <w:t>growth</w:t>
      </w:r>
      <w:r w:rsidR="005F023E">
        <w:t>-</w:t>
      </w:r>
      <w:r>
        <w:t>above</w:t>
      </w:r>
      <w:r w:rsidR="005F023E">
        <w:t>-</w:t>
      </w:r>
      <w:r>
        <w:t xml:space="preserve">baseline to </w:t>
      </w:r>
      <w:r w:rsidR="00B1203A">
        <w:t>Core S</w:t>
      </w:r>
      <w:r>
        <w:t xml:space="preserve">pending </w:t>
      </w:r>
      <w:r w:rsidR="00B1203A">
        <w:t>P</w:t>
      </w:r>
      <w:r>
        <w:t xml:space="preserve">ower totals </w:t>
      </w:r>
      <w:r w:rsidR="00B1203A">
        <w:t>for 2020-21. Whilst 18 councils added more than 30% to their Cor</w:t>
      </w:r>
      <w:r w:rsidR="0038361C">
        <w:t>e spending power as presented</w:t>
      </w:r>
      <w:r w:rsidR="00B1203A">
        <w:t xml:space="preserve"> in </w:t>
      </w:r>
      <w:r w:rsidR="005F023E">
        <w:t xml:space="preserve">2020-21 </w:t>
      </w:r>
      <w:r w:rsidR="00B1203A">
        <w:t>CSP tables</w:t>
      </w:r>
      <w:r w:rsidR="0038361C">
        <w:t xml:space="preserve">, others were </w:t>
      </w:r>
      <w:r w:rsidR="00B1203A">
        <w:t xml:space="preserve">below </w:t>
      </w:r>
      <w:r w:rsidR="0038361C">
        <w:t xml:space="preserve">their </w:t>
      </w:r>
      <w:r w:rsidR="00B1203A">
        <w:t>CSP amounts.</w:t>
      </w:r>
      <w:r w:rsidR="005F023E">
        <w:t xml:space="preserve"> SIGOMA authorities are shown in red on the chart</w:t>
      </w:r>
      <w:r w:rsidR="0038361C">
        <w:t xml:space="preserve"> and a</w:t>
      </w:r>
      <w:r w:rsidR="005F023E">
        <w:t>ll are below the national average of 9%</w:t>
      </w:r>
    </w:p>
    <w:p w:rsidR="00B1203A" w:rsidRDefault="00B1203A" w:rsidP="00B1203A">
      <w:pPr>
        <w:pStyle w:val="ListParagraph"/>
      </w:pPr>
    </w:p>
    <w:p w:rsidR="005F023E" w:rsidRPr="0038361C" w:rsidRDefault="0038361C" w:rsidP="0038361C">
      <w:pPr>
        <w:tabs>
          <w:tab w:val="left" w:pos="426"/>
        </w:tabs>
        <w:spacing w:line="240" w:lineRule="auto"/>
        <w:rPr>
          <w:b/>
          <w:color w:val="548DD4" w:themeColor="text2" w:themeTint="99"/>
          <w:u w:val="single"/>
        </w:rPr>
      </w:pPr>
      <w:r w:rsidRPr="0038361C">
        <w:rPr>
          <w:b/>
          <w:color w:val="548DD4" w:themeColor="text2" w:themeTint="99"/>
          <w:u w:val="single"/>
        </w:rPr>
        <w:t>Business Rates £ Growth above Needs Baseline as a Percentage of 20</w:t>
      </w:r>
      <w:r>
        <w:rPr>
          <w:b/>
          <w:color w:val="548DD4" w:themeColor="text2" w:themeTint="99"/>
          <w:u w:val="single"/>
        </w:rPr>
        <w:t>-21</w:t>
      </w:r>
      <w:r w:rsidRPr="0038361C">
        <w:rPr>
          <w:b/>
          <w:color w:val="548DD4" w:themeColor="text2" w:themeTint="99"/>
          <w:u w:val="single"/>
        </w:rPr>
        <w:t xml:space="preserve"> CSP</w:t>
      </w:r>
      <w:r w:rsidR="00352E8E">
        <w:rPr>
          <w:rStyle w:val="FootnoteReference"/>
          <w:b/>
          <w:color w:val="548DD4" w:themeColor="text2" w:themeTint="99"/>
          <w:u w:val="single"/>
        </w:rPr>
        <w:footnoteReference w:id="7"/>
      </w:r>
    </w:p>
    <w:p w:rsidR="005D0C7B" w:rsidRDefault="005F023E" w:rsidP="00B1203A">
      <w:pPr>
        <w:pStyle w:val="ListParagraph"/>
        <w:tabs>
          <w:tab w:val="left" w:pos="426"/>
        </w:tabs>
        <w:spacing w:line="240" w:lineRule="auto"/>
        <w:ind w:left="0"/>
      </w:pPr>
      <w:r w:rsidRPr="005F023E">
        <w:rPr>
          <w:noProof/>
          <w:lang w:eastAsia="en-GB"/>
        </w:rPr>
        <w:drawing>
          <wp:inline distT="0" distB="0" distL="0" distR="0" wp14:anchorId="56DEF3D9" wp14:editId="423DBCE6">
            <wp:extent cx="4696358" cy="2773160"/>
            <wp:effectExtent l="0" t="0" r="952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93404" cy="2771416"/>
                    </a:xfrm>
                    <a:prstGeom prst="rect">
                      <a:avLst/>
                    </a:prstGeom>
                  </pic:spPr>
                </pic:pic>
              </a:graphicData>
            </a:graphic>
          </wp:inline>
        </w:drawing>
      </w:r>
    </w:p>
    <w:p w:rsidR="00310A4A" w:rsidRPr="00310A4A" w:rsidRDefault="00310A4A" w:rsidP="00B1203A">
      <w:pPr>
        <w:pStyle w:val="ListParagraph"/>
        <w:tabs>
          <w:tab w:val="left" w:pos="426"/>
        </w:tabs>
        <w:spacing w:line="240" w:lineRule="auto"/>
        <w:ind w:left="0"/>
        <w:rPr>
          <w:color w:val="BFBFBF" w:themeColor="background1" w:themeShade="BF"/>
          <w:sz w:val="16"/>
          <w:szCs w:val="16"/>
        </w:rPr>
      </w:pPr>
      <w:r w:rsidRPr="00310A4A">
        <w:rPr>
          <w:color w:val="BFBFBF" w:themeColor="background1" w:themeShade="BF"/>
          <w:sz w:val="16"/>
          <w:szCs w:val="16"/>
        </w:rPr>
        <w:t>\Consultation responses (copies)</w:t>
      </w:r>
      <w:proofErr w:type="gramStart"/>
      <w:r w:rsidRPr="00310A4A">
        <w:rPr>
          <w:color w:val="BFBFBF" w:themeColor="background1" w:themeShade="BF"/>
          <w:sz w:val="16"/>
          <w:szCs w:val="16"/>
        </w:rPr>
        <w:t>\[</w:t>
      </w:r>
      <w:proofErr w:type="gramEnd"/>
      <w:r w:rsidRPr="00310A4A">
        <w:rPr>
          <w:color w:val="BFBFBF" w:themeColor="background1" w:themeShade="BF"/>
          <w:sz w:val="16"/>
          <w:szCs w:val="16"/>
        </w:rPr>
        <w:t>settlement provisional1_rates growth.xlsx]Sheet1</w:t>
      </w:r>
    </w:p>
    <w:p w:rsidR="005F023E" w:rsidRDefault="005F023E" w:rsidP="00B1203A">
      <w:pPr>
        <w:pStyle w:val="ListParagraph"/>
        <w:tabs>
          <w:tab w:val="left" w:pos="426"/>
        </w:tabs>
        <w:spacing w:line="240" w:lineRule="auto"/>
        <w:ind w:left="0"/>
      </w:pPr>
    </w:p>
    <w:p w:rsidR="005F023E" w:rsidRDefault="005F023E" w:rsidP="005F023E">
      <w:pPr>
        <w:pStyle w:val="ListParagraph"/>
        <w:numPr>
          <w:ilvl w:val="1"/>
          <w:numId w:val="3"/>
        </w:numPr>
        <w:tabs>
          <w:tab w:val="left" w:pos="426"/>
        </w:tabs>
        <w:spacing w:line="240" w:lineRule="auto"/>
        <w:ind w:left="0" w:firstLine="0"/>
      </w:pPr>
      <w:r>
        <w:t>These figures are a conservative estimate in that:</w:t>
      </w:r>
    </w:p>
    <w:p w:rsidR="005F023E" w:rsidRDefault="005F023E" w:rsidP="005F023E">
      <w:pPr>
        <w:pStyle w:val="ListParagraph"/>
        <w:numPr>
          <w:ilvl w:val="0"/>
          <w:numId w:val="13"/>
        </w:numPr>
        <w:tabs>
          <w:tab w:val="left" w:pos="426"/>
        </w:tabs>
        <w:spacing w:line="240" w:lineRule="auto"/>
      </w:pPr>
      <w:r>
        <w:t>They are at a 50% retention level whilst some devolution pilots are on higher rates</w:t>
      </w:r>
    </w:p>
    <w:p w:rsidR="005F023E" w:rsidRDefault="005F023E" w:rsidP="005F023E">
      <w:pPr>
        <w:pStyle w:val="ListParagraph"/>
        <w:numPr>
          <w:ilvl w:val="0"/>
          <w:numId w:val="13"/>
        </w:numPr>
        <w:tabs>
          <w:tab w:val="left" w:pos="426"/>
        </w:tabs>
        <w:spacing w:line="240" w:lineRule="auto"/>
      </w:pPr>
      <w:r>
        <w:t xml:space="preserve">They ignore </w:t>
      </w:r>
      <w:r w:rsidR="008C7DE5">
        <w:t xml:space="preserve">increased </w:t>
      </w:r>
      <w:r w:rsidR="005A78B1">
        <w:t>growth in 2019-20 (and no doubt 20-21)</w:t>
      </w:r>
    </w:p>
    <w:p w:rsidR="00F61684" w:rsidRDefault="00F61684" w:rsidP="00F61684">
      <w:pPr>
        <w:pStyle w:val="ListParagraph"/>
      </w:pPr>
    </w:p>
    <w:p w:rsidR="005F023E" w:rsidRDefault="005F023E" w:rsidP="004A62FE">
      <w:pPr>
        <w:pStyle w:val="ListParagraph"/>
        <w:numPr>
          <w:ilvl w:val="1"/>
          <w:numId w:val="3"/>
        </w:numPr>
        <w:tabs>
          <w:tab w:val="left" w:pos="426"/>
        </w:tabs>
        <w:spacing w:line="240" w:lineRule="auto"/>
        <w:ind w:left="0" w:firstLine="0"/>
      </w:pPr>
      <w:r>
        <w:t xml:space="preserve">This illustrates the disproportionate benefit conferred on some authorities by extending re set to 2021. That additional growth, or a portion of it, could be directed towards the chronically underfunded </w:t>
      </w:r>
      <w:r w:rsidR="0038361C">
        <w:t>Children’s</w:t>
      </w:r>
      <w:r>
        <w:t xml:space="preserve"> </w:t>
      </w:r>
      <w:r w:rsidR="0038361C">
        <w:t>S</w:t>
      </w:r>
      <w:r w:rsidR="008C7DE5">
        <w:t>ocial S</w:t>
      </w:r>
      <w:r>
        <w:t>ervices</w:t>
      </w:r>
      <w:r w:rsidR="008C7DE5">
        <w:t>.</w:t>
      </w:r>
    </w:p>
    <w:p w:rsidR="005F023E" w:rsidRDefault="005F023E" w:rsidP="005F023E">
      <w:pPr>
        <w:pStyle w:val="ListParagraph"/>
        <w:tabs>
          <w:tab w:val="left" w:pos="426"/>
        </w:tabs>
        <w:spacing w:line="240" w:lineRule="auto"/>
        <w:ind w:left="0"/>
      </w:pPr>
    </w:p>
    <w:p w:rsidR="00F61684" w:rsidRDefault="005F023E" w:rsidP="004A62FE">
      <w:pPr>
        <w:pStyle w:val="ListParagraph"/>
        <w:numPr>
          <w:ilvl w:val="1"/>
          <w:numId w:val="3"/>
        </w:numPr>
        <w:tabs>
          <w:tab w:val="left" w:pos="426"/>
        </w:tabs>
        <w:spacing w:line="240" w:lineRule="auto"/>
        <w:ind w:left="0" w:firstLine="0"/>
      </w:pPr>
      <w:r>
        <w:t xml:space="preserve">It </w:t>
      </w:r>
      <w:r w:rsidR="005D0C7B">
        <w:t xml:space="preserve">can easily be seen </w:t>
      </w:r>
      <w:r w:rsidR="00261B74">
        <w:t xml:space="preserve">that authorities with </w:t>
      </w:r>
      <w:r w:rsidR="005D0C7B">
        <w:t xml:space="preserve">weak local tax bases and modest </w:t>
      </w:r>
      <w:r w:rsidR="0073782B">
        <w:t>housing growth</w:t>
      </w:r>
      <w:r w:rsidR="005D0C7B">
        <w:t xml:space="preserve"> will not be able to o</w:t>
      </w:r>
      <w:r w:rsidR="0038361C">
        <w:t xml:space="preserve">btain the same benefit from </w:t>
      </w:r>
      <w:r w:rsidR="001764DE">
        <w:t xml:space="preserve">this </w:t>
      </w:r>
      <w:r w:rsidR="005D0C7B">
        <w:t xml:space="preserve">policy </w:t>
      </w:r>
      <w:r w:rsidR="0038361C">
        <w:t xml:space="preserve">for 20-21 </w:t>
      </w:r>
      <w:r w:rsidR="005D0C7B">
        <w:t xml:space="preserve">as their more affluent </w:t>
      </w:r>
      <w:r w:rsidR="0073782B">
        <w:t>neighbours,</w:t>
      </w:r>
      <w:r w:rsidR="005D0C7B">
        <w:t xml:space="preserve"> yet at the same time </w:t>
      </w:r>
      <w:r w:rsidR="009D6F45">
        <w:t xml:space="preserve">they </w:t>
      </w:r>
      <w:r w:rsidR="005D0C7B">
        <w:t xml:space="preserve">are </w:t>
      </w:r>
      <w:r w:rsidR="009D6F45">
        <w:t xml:space="preserve">frequently </w:t>
      </w:r>
      <w:r w:rsidR="005D0C7B">
        <w:t>experiencing above average demand for services.</w:t>
      </w:r>
    </w:p>
    <w:p w:rsidR="006606CC" w:rsidRDefault="006606CC" w:rsidP="006606CC">
      <w:pPr>
        <w:pStyle w:val="ListParagraph"/>
      </w:pPr>
    </w:p>
    <w:p w:rsidR="006606CC" w:rsidRDefault="005D0C7B" w:rsidP="004A62FE">
      <w:pPr>
        <w:pStyle w:val="ListParagraph"/>
        <w:numPr>
          <w:ilvl w:val="1"/>
          <w:numId w:val="3"/>
        </w:numPr>
        <w:tabs>
          <w:tab w:val="left" w:pos="426"/>
        </w:tabs>
        <w:spacing w:line="240" w:lineRule="auto"/>
        <w:ind w:left="0" w:firstLine="0"/>
      </w:pPr>
      <w:r>
        <w:t>Th</w:t>
      </w:r>
      <w:r w:rsidR="004E7A00">
        <w:t>e proposals for 2020-21 in the S</w:t>
      </w:r>
      <w:r>
        <w:t xml:space="preserve">ettlement </w:t>
      </w:r>
      <w:r w:rsidR="000F17CC">
        <w:t xml:space="preserve">for Better Care funding based on demand </w:t>
      </w:r>
      <w:r>
        <w:t>go some way to towards alleviating pressure</w:t>
      </w:r>
      <w:r w:rsidR="000F17CC">
        <w:t>,</w:t>
      </w:r>
      <w:r>
        <w:t xml:space="preserve"> but they still continue and extend the policy of reliance on local resource and incentive. Hence, of the </w:t>
      </w:r>
      <w:r w:rsidR="004E7A00">
        <w:t>headline</w:t>
      </w:r>
      <w:r w:rsidR="000F17CC">
        <w:t xml:space="preserve"> </w:t>
      </w:r>
      <w:r>
        <w:t xml:space="preserve">£2.9 billion </w:t>
      </w:r>
      <w:r w:rsidR="00FB1175">
        <w:t>increase in C</w:t>
      </w:r>
      <w:r>
        <w:t xml:space="preserve">ore </w:t>
      </w:r>
      <w:r w:rsidR="00FB1175">
        <w:lastRenderedPageBreak/>
        <w:t>S</w:t>
      </w:r>
      <w:r>
        <w:t xml:space="preserve">pending </w:t>
      </w:r>
      <w:r w:rsidR="00FB1175">
        <w:t>P</w:t>
      </w:r>
      <w:r>
        <w:t>ower only 34%, £1 billion</w:t>
      </w:r>
      <w:r w:rsidR="00FB1175">
        <w:t>,</w:t>
      </w:r>
      <w:r>
        <w:t xml:space="preserve"> is direct</w:t>
      </w:r>
      <w:r w:rsidR="00FB1175">
        <w:t>, needs-</w:t>
      </w:r>
      <w:r>
        <w:t>based grant, the majority being from business rate</w:t>
      </w:r>
      <w:r w:rsidR="004E7A00">
        <w:t>s</w:t>
      </w:r>
      <w:r>
        <w:t xml:space="preserve"> and Council Tax growth.</w:t>
      </w:r>
    </w:p>
    <w:p w:rsidR="006606CC" w:rsidRDefault="006606CC" w:rsidP="006606CC">
      <w:pPr>
        <w:pStyle w:val="ListParagraph"/>
      </w:pPr>
    </w:p>
    <w:p w:rsidR="006606CC" w:rsidRDefault="008C7DE5" w:rsidP="004A62FE">
      <w:pPr>
        <w:pStyle w:val="ListParagraph"/>
        <w:numPr>
          <w:ilvl w:val="1"/>
          <w:numId w:val="3"/>
        </w:numPr>
        <w:tabs>
          <w:tab w:val="left" w:pos="426"/>
        </w:tabs>
        <w:spacing w:line="240" w:lineRule="auto"/>
        <w:ind w:left="0" w:firstLine="0"/>
      </w:pPr>
      <w:r>
        <w:t>The</w:t>
      </w:r>
      <w:r w:rsidR="005F023E">
        <w:t xml:space="preserve"> extension of re-set</w:t>
      </w:r>
      <w:r>
        <w:t xml:space="preserve"> prolongs</w:t>
      </w:r>
      <w:r w:rsidR="005D0C7B">
        <w:t xml:space="preserve"> this imbalance and will disadvantage the majority of our members</w:t>
      </w:r>
      <w:r w:rsidR="0038361C">
        <w:t>, a matter not recognised by G</w:t>
      </w:r>
      <w:r w:rsidR="00F50197">
        <w:t>overnment despite their readiness to compensate certain councils with transition funding in recent years. We recommend that councils worst affected b</w:t>
      </w:r>
      <w:r w:rsidR="009D6F45">
        <w:t>y a delayed re set in terms of S</w:t>
      </w:r>
      <w:r>
        <w:t>ettlement F</w:t>
      </w:r>
      <w:r w:rsidR="00F50197">
        <w:t xml:space="preserve">unding should be compensated for this decision. </w:t>
      </w:r>
    </w:p>
    <w:p w:rsidR="00234E8B" w:rsidRDefault="00234E8B" w:rsidP="00234E8B">
      <w:pPr>
        <w:pStyle w:val="ListParagraph"/>
      </w:pPr>
    </w:p>
    <w:p w:rsidR="00234E8B" w:rsidRDefault="00234E8B" w:rsidP="004A62FE">
      <w:pPr>
        <w:pStyle w:val="ListParagraph"/>
        <w:numPr>
          <w:ilvl w:val="1"/>
          <w:numId w:val="3"/>
        </w:numPr>
        <w:tabs>
          <w:tab w:val="left" w:pos="426"/>
        </w:tabs>
        <w:spacing w:line="240" w:lineRule="auto"/>
        <w:ind w:left="0" w:firstLine="0"/>
      </w:pPr>
      <w:r>
        <w:t>In addition some members have repeated their concern at the risk to business rates income caused by appeals and the necessity for appeal provisions. It is appreciated that the Department are working towards a method of pooling the effect of appeals and we await the outcome of this with interest.</w:t>
      </w:r>
    </w:p>
    <w:p w:rsidR="00933FA0" w:rsidRDefault="00933FA0" w:rsidP="00933FA0">
      <w:pPr>
        <w:pStyle w:val="ListParagraph"/>
      </w:pPr>
    </w:p>
    <w:p w:rsidR="00933FA0" w:rsidRPr="00185288" w:rsidRDefault="00933FA0" w:rsidP="00933FA0">
      <w:pPr>
        <w:pStyle w:val="ListParagraph"/>
        <w:numPr>
          <w:ilvl w:val="0"/>
          <w:numId w:val="3"/>
        </w:numPr>
        <w:tabs>
          <w:tab w:val="left" w:pos="426"/>
        </w:tabs>
        <w:spacing w:line="240" w:lineRule="auto"/>
        <w:rPr>
          <w:b/>
          <w:u w:val="single"/>
        </w:rPr>
      </w:pPr>
      <w:r w:rsidRPr="00185288">
        <w:rPr>
          <w:b/>
          <w:u w:val="single"/>
        </w:rPr>
        <w:t>Other Issues</w:t>
      </w:r>
    </w:p>
    <w:p w:rsidR="00933FA0" w:rsidRDefault="00933FA0" w:rsidP="00933FA0">
      <w:pPr>
        <w:pStyle w:val="ListParagraph"/>
      </w:pPr>
    </w:p>
    <w:p w:rsidR="00933FA0" w:rsidRDefault="00933FA0" w:rsidP="004A62FE">
      <w:pPr>
        <w:pStyle w:val="ListParagraph"/>
        <w:numPr>
          <w:ilvl w:val="1"/>
          <w:numId w:val="3"/>
        </w:numPr>
        <w:tabs>
          <w:tab w:val="left" w:pos="426"/>
        </w:tabs>
        <w:spacing w:line="240" w:lineRule="auto"/>
        <w:ind w:left="0" w:firstLine="0"/>
      </w:pPr>
      <w:r>
        <w:t xml:space="preserve">Our members request a timely notification of </w:t>
      </w:r>
      <w:r w:rsidRPr="00933FA0">
        <w:rPr>
          <w:b/>
        </w:rPr>
        <w:t xml:space="preserve">public health grant </w:t>
      </w:r>
      <w:r>
        <w:t xml:space="preserve">allocations. A real terms increase has been promised yet no allocations have yet been announced with only 11 weeks remaining until the </w:t>
      </w:r>
      <w:proofErr w:type="gramStart"/>
      <w:r>
        <w:t>new year</w:t>
      </w:r>
      <w:proofErr w:type="gramEnd"/>
      <w:r>
        <w:t xml:space="preserve"> commences.</w:t>
      </w:r>
    </w:p>
    <w:p w:rsidR="005D0C7B" w:rsidRDefault="005D0C7B" w:rsidP="00185288"/>
    <w:p w:rsidR="005D0C7B" w:rsidRPr="0010758D" w:rsidRDefault="00FF4D9C" w:rsidP="0010758D">
      <w:pPr>
        <w:pStyle w:val="ListParagraph"/>
        <w:numPr>
          <w:ilvl w:val="0"/>
          <w:numId w:val="3"/>
        </w:numPr>
        <w:tabs>
          <w:tab w:val="left" w:pos="426"/>
        </w:tabs>
        <w:spacing w:line="240" w:lineRule="auto"/>
        <w:rPr>
          <w:b/>
        </w:rPr>
      </w:pPr>
      <w:r>
        <w:rPr>
          <w:b/>
        </w:rPr>
        <w:t xml:space="preserve">Q1 </w:t>
      </w:r>
      <w:r w:rsidR="0010758D" w:rsidRPr="0010758D">
        <w:rPr>
          <w:b/>
        </w:rPr>
        <w:t>Do you agree with the Government’s proposed methodology for the distribution of Revenue Support Grant?</w:t>
      </w:r>
    </w:p>
    <w:p w:rsidR="005D0C7B" w:rsidRDefault="005D0C7B" w:rsidP="005D0C7B">
      <w:pPr>
        <w:pStyle w:val="ListParagraph"/>
      </w:pPr>
    </w:p>
    <w:p w:rsidR="005D0C7B" w:rsidRDefault="0038361C" w:rsidP="004A62FE">
      <w:pPr>
        <w:pStyle w:val="ListParagraph"/>
        <w:numPr>
          <w:ilvl w:val="1"/>
          <w:numId w:val="3"/>
        </w:numPr>
        <w:tabs>
          <w:tab w:val="left" w:pos="426"/>
        </w:tabs>
        <w:spacing w:line="240" w:lineRule="auto"/>
        <w:ind w:left="0" w:firstLine="0"/>
      </w:pPr>
      <w:r>
        <w:t xml:space="preserve">From </w:t>
      </w:r>
      <w:r w:rsidR="0010758D">
        <w:t>2016</w:t>
      </w:r>
      <w:r>
        <w:t>,</w:t>
      </w:r>
      <w:r w:rsidR="0010758D">
        <w:t xml:space="preserve"> RSG adjustments (reductions) have been made on the basis of a spending power </w:t>
      </w:r>
      <w:r w:rsidR="004E7A00">
        <w:t>total that took into account a baseline</w:t>
      </w:r>
      <w:r w:rsidR="007E592C">
        <w:t xml:space="preserve"> core Council Tax income for</w:t>
      </w:r>
      <w:r w:rsidR="0010758D">
        <w:t xml:space="preserve"> each authority.</w:t>
      </w:r>
    </w:p>
    <w:p w:rsidR="005D0C7B" w:rsidRDefault="005D0C7B" w:rsidP="005D0C7B">
      <w:pPr>
        <w:pStyle w:val="ListParagraph"/>
      </w:pPr>
    </w:p>
    <w:p w:rsidR="005D0C7B" w:rsidRDefault="00983336" w:rsidP="005D0C7B">
      <w:pPr>
        <w:pStyle w:val="ListParagraph"/>
        <w:numPr>
          <w:ilvl w:val="1"/>
          <w:numId w:val="3"/>
        </w:numPr>
        <w:tabs>
          <w:tab w:val="left" w:pos="426"/>
        </w:tabs>
        <w:spacing w:line="240" w:lineRule="auto"/>
        <w:ind w:left="0" w:firstLine="0"/>
      </w:pPr>
      <w:r>
        <w:t xml:space="preserve">In previous years, </w:t>
      </w:r>
      <w:r w:rsidR="000208FA">
        <w:t xml:space="preserve">SFA was falling whilst Council Tax </w:t>
      </w:r>
      <w:proofErr w:type="spellStart"/>
      <w:r w:rsidR="000208FA">
        <w:t>increased</w:t>
      </w:r>
      <w:proofErr w:type="spellEnd"/>
      <w:r w:rsidR="001764DE">
        <w:t>.  T</w:t>
      </w:r>
      <w:r w:rsidR="000208FA">
        <w:t xml:space="preserve">his made a significant difference to allocations but with the increase in SFA and Council Tax </w:t>
      </w:r>
      <w:r w:rsidR="004E7A00">
        <w:t xml:space="preserve">referendum cap </w:t>
      </w:r>
      <w:r w:rsidR="000208FA">
        <w:t>closely aligned this year, the distributio</w:t>
      </w:r>
      <w:r w:rsidR="004E7A00">
        <w:t>nal impact in this year is less</w:t>
      </w:r>
      <w:r w:rsidR="000208FA">
        <w:t>.</w:t>
      </w:r>
    </w:p>
    <w:p w:rsidR="000208FA" w:rsidRDefault="000208FA" w:rsidP="000208FA">
      <w:pPr>
        <w:pStyle w:val="ListParagraph"/>
        <w:tabs>
          <w:tab w:val="left" w:pos="426"/>
        </w:tabs>
        <w:spacing w:line="240" w:lineRule="auto"/>
        <w:ind w:left="0"/>
      </w:pPr>
    </w:p>
    <w:p w:rsidR="005D0C7B" w:rsidRDefault="0010758D" w:rsidP="004A62FE">
      <w:pPr>
        <w:pStyle w:val="ListParagraph"/>
        <w:numPr>
          <w:ilvl w:val="1"/>
          <w:numId w:val="3"/>
        </w:numPr>
        <w:tabs>
          <w:tab w:val="left" w:pos="426"/>
        </w:tabs>
        <w:spacing w:line="240" w:lineRule="auto"/>
        <w:ind w:left="0" w:firstLine="0"/>
      </w:pPr>
      <w:r>
        <w:t>Given our comments in section 1</w:t>
      </w:r>
      <w:r w:rsidR="0038361C">
        <w:t xml:space="preserve"> and </w:t>
      </w:r>
      <w:proofErr w:type="gramStart"/>
      <w:r w:rsidR="0038361C">
        <w:t xml:space="preserve">2 </w:t>
      </w:r>
      <w:r>
        <w:t xml:space="preserve"> it</w:t>
      </w:r>
      <w:proofErr w:type="gramEnd"/>
      <w:r>
        <w:t xml:space="preserve"> will be understood</w:t>
      </w:r>
      <w:r w:rsidR="000208FA">
        <w:t xml:space="preserve"> why we feel that the 2016 system  </w:t>
      </w:r>
      <w:r>
        <w:t xml:space="preserve"> should continue and, moreover, should take into account an updated </w:t>
      </w:r>
      <w:r w:rsidR="008C7DE5">
        <w:t>2019-20</w:t>
      </w:r>
      <w:r w:rsidR="00E264ED">
        <w:t xml:space="preserve"> </w:t>
      </w:r>
      <w:r>
        <w:t>baseline value for Cou</w:t>
      </w:r>
      <w:r w:rsidR="002853D8">
        <w:t xml:space="preserve">ncil Tax. This will ensure a more uniform benefit across authorities from the </w:t>
      </w:r>
      <w:r w:rsidR="000208FA">
        <w:t xml:space="preserve">various funding streams. Given the point </w:t>
      </w:r>
      <w:r w:rsidR="000F17CC">
        <w:t xml:space="preserve">made </w:t>
      </w:r>
      <w:r w:rsidR="0038361C">
        <w:t>in 3</w:t>
      </w:r>
      <w:r w:rsidR="00F57F9B">
        <w:t>.2</w:t>
      </w:r>
      <w:r w:rsidR="000208FA">
        <w:t xml:space="preserve"> </w:t>
      </w:r>
      <w:r w:rsidR="000F17CC">
        <w:t xml:space="preserve">above however </w:t>
      </w:r>
      <w:r w:rsidR="000208FA">
        <w:t>we agree with the proposed methodology</w:t>
      </w:r>
      <w:r w:rsidR="00261B74">
        <w:t>,</w:t>
      </w:r>
      <w:r w:rsidR="000208FA">
        <w:t xml:space="preserve"> for this year only.</w:t>
      </w:r>
    </w:p>
    <w:p w:rsidR="005D0C7B" w:rsidRDefault="005D0C7B" w:rsidP="005D0C7B">
      <w:pPr>
        <w:pStyle w:val="ListParagraph"/>
      </w:pPr>
    </w:p>
    <w:p w:rsidR="005D0C7B" w:rsidRPr="00261B74" w:rsidRDefault="00FF4D9C" w:rsidP="00261B74">
      <w:pPr>
        <w:pStyle w:val="ListParagraph"/>
        <w:numPr>
          <w:ilvl w:val="0"/>
          <w:numId w:val="3"/>
        </w:numPr>
        <w:tabs>
          <w:tab w:val="left" w:pos="426"/>
        </w:tabs>
        <w:spacing w:line="240" w:lineRule="auto"/>
        <w:rPr>
          <w:b/>
        </w:rPr>
      </w:pPr>
      <w:r>
        <w:rPr>
          <w:b/>
        </w:rPr>
        <w:t xml:space="preserve">Q2 </w:t>
      </w:r>
      <w:r w:rsidR="00261B74" w:rsidRPr="00261B74">
        <w:rPr>
          <w:b/>
        </w:rPr>
        <w:t>Should central government  eliminate negative RSG in full through foregone business rates receipts</w:t>
      </w:r>
      <w:r w:rsidR="00261B74">
        <w:rPr>
          <w:b/>
        </w:rPr>
        <w:t>?</w:t>
      </w:r>
    </w:p>
    <w:p w:rsidR="005D0C7B" w:rsidRDefault="005D0C7B" w:rsidP="005D0C7B">
      <w:pPr>
        <w:pStyle w:val="ListParagraph"/>
      </w:pPr>
    </w:p>
    <w:p w:rsidR="008C5332" w:rsidRDefault="008C5332" w:rsidP="006332DD">
      <w:pPr>
        <w:pStyle w:val="ListParagraph"/>
        <w:numPr>
          <w:ilvl w:val="1"/>
          <w:numId w:val="3"/>
        </w:numPr>
        <w:tabs>
          <w:tab w:val="left" w:pos="426"/>
        </w:tabs>
        <w:spacing w:line="240" w:lineRule="auto"/>
        <w:ind w:left="426" w:hanging="426"/>
      </w:pPr>
      <w:r>
        <w:t>The consultation does not disclose the cost of this proposal</w:t>
      </w:r>
      <w:r w:rsidR="00983336">
        <w:t xml:space="preserve"> or the councils who benefit and by how much</w:t>
      </w:r>
      <w:r>
        <w:t>. In 2016 the estimated cost in 2019-20 was £152 million. This is not an inconsiderable amount though the 20-21 policy for RSG growth would likely reduced the overall total. The Department should disclose the cost of this policy.</w:t>
      </w:r>
    </w:p>
    <w:p w:rsidR="008C5332" w:rsidRDefault="008C5332" w:rsidP="008C5332">
      <w:pPr>
        <w:pStyle w:val="ListParagraph"/>
        <w:tabs>
          <w:tab w:val="left" w:pos="426"/>
        </w:tabs>
        <w:spacing w:line="240" w:lineRule="auto"/>
        <w:ind w:left="426"/>
      </w:pPr>
    </w:p>
    <w:p w:rsidR="005D0C7B" w:rsidRDefault="008C5332" w:rsidP="006332DD">
      <w:pPr>
        <w:pStyle w:val="ListParagraph"/>
        <w:numPr>
          <w:ilvl w:val="1"/>
          <w:numId w:val="3"/>
        </w:numPr>
        <w:tabs>
          <w:tab w:val="left" w:pos="426"/>
        </w:tabs>
        <w:spacing w:line="240" w:lineRule="auto"/>
        <w:ind w:left="426" w:hanging="426"/>
      </w:pPr>
      <w:r>
        <w:t>If</w:t>
      </w:r>
      <w:r w:rsidR="00261B74">
        <w:t xml:space="preserve"> </w:t>
      </w:r>
      <w:r w:rsidR="001764DE">
        <w:t xml:space="preserve">the </w:t>
      </w:r>
      <w:r w:rsidR="00261B74">
        <w:t>Department strive</w:t>
      </w:r>
      <w:r>
        <w:t>s</w:t>
      </w:r>
      <w:r w:rsidR="00261B74">
        <w:t xml:space="preserve"> to distribute as much funding as possible consistent with prudently withholding fund</w:t>
      </w:r>
      <w:r w:rsidR="00B875ED">
        <w:t>s</w:t>
      </w:r>
      <w:r w:rsidR="00261B74">
        <w:t xml:space="preserve"> that may be needed for contingencies</w:t>
      </w:r>
      <w:r>
        <w:t xml:space="preserve"> and if</w:t>
      </w:r>
      <w:r w:rsidR="00B54396">
        <w:t xml:space="preserve"> all business rates are used for loca</w:t>
      </w:r>
      <w:r>
        <w:t>l government purposes then</w:t>
      </w:r>
      <w:r w:rsidR="00B54396">
        <w:t xml:space="preserve"> funds taken from central rates share are not additional.</w:t>
      </w:r>
    </w:p>
    <w:p w:rsidR="00FB1175" w:rsidRDefault="00FB1175" w:rsidP="006332DD">
      <w:pPr>
        <w:pStyle w:val="ListParagraph"/>
        <w:ind w:left="426" w:hanging="426"/>
      </w:pPr>
    </w:p>
    <w:p w:rsidR="00FB1175" w:rsidRDefault="00261B74" w:rsidP="006332DD">
      <w:pPr>
        <w:pStyle w:val="ListParagraph"/>
        <w:numPr>
          <w:ilvl w:val="1"/>
          <w:numId w:val="3"/>
        </w:numPr>
        <w:tabs>
          <w:tab w:val="left" w:pos="426"/>
        </w:tabs>
        <w:spacing w:line="240" w:lineRule="auto"/>
        <w:ind w:left="426" w:hanging="426"/>
      </w:pPr>
      <w:r>
        <w:t xml:space="preserve">The </w:t>
      </w:r>
      <w:r w:rsidR="0073782B">
        <w:t>argument for removing negative RSG in its early years was</w:t>
      </w:r>
      <w:r>
        <w:t xml:space="preserve"> that those authorities affected had not had time to react to the proposed changes. </w:t>
      </w:r>
    </w:p>
    <w:p w:rsidR="008C5332" w:rsidRDefault="008C5332" w:rsidP="008C5332"/>
    <w:p w:rsidR="001764DE" w:rsidRDefault="00B875ED" w:rsidP="006332DD">
      <w:pPr>
        <w:pStyle w:val="ListParagraph"/>
        <w:numPr>
          <w:ilvl w:val="1"/>
          <w:numId w:val="3"/>
        </w:numPr>
        <w:tabs>
          <w:tab w:val="left" w:pos="426"/>
        </w:tabs>
        <w:spacing w:line="240" w:lineRule="auto"/>
        <w:ind w:left="426" w:hanging="426"/>
      </w:pPr>
      <w:r>
        <w:t xml:space="preserve">Of course the Department has made year on year reductions to settlement funding via RSG every year since 2010 and it is difficult for our members who have been worst </w:t>
      </w:r>
      <w:r>
        <w:lastRenderedPageBreak/>
        <w:t xml:space="preserve">affected by these reductions to distinguish this particular </w:t>
      </w:r>
      <w:r w:rsidR="001764DE">
        <w:t>reduction in RSG</w:t>
      </w:r>
      <w:r>
        <w:t xml:space="preserve"> from the others that have impacted so heavily</w:t>
      </w:r>
      <w:r w:rsidR="00983336">
        <w:t xml:space="preserve"> on them</w:t>
      </w:r>
      <w:r>
        <w:t>.</w:t>
      </w:r>
      <w:r w:rsidRPr="00B875ED">
        <w:t xml:space="preserve"> </w:t>
      </w:r>
    </w:p>
    <w:p w:rsidR="001764DE" w:rsidRDefault="001764DE" w:rsidP="001764DE">
      <w:pPr>
        <w:pStyle w:val="ListParagraph"/>
      </w:pPr>
    </w:p>
    <w:p w:rsidR="00B875ED" w:rsidRDefault="001764DE" w:rsidP="006332DD">
      <w:pPr>
        <w:pStyle w:val="ListParagraph"/>
        <w:numPr>
          <w:ilvl w:val="1"/>
          <w:numId w:val="3"/>
        </w:numPr>
        <w:tabs>
          <w:tab w:val="left" w:pos="426"/>
        </w:tabs>
        <w:spacing w:line="240" w:lineRule="auto"/>
        <w:ind w:left="426" w:hanging="426"/>
      </w:pPr>
      <w:r>
        <w:t xml:space="preserve">The notion of negative RSG is of course meaningless within the rate retention system. </w:t>
      </w:r>
      <w:r w:rsidR="00B875ED">
        <w:t xml:space="preserve">Every Tariff authority suffers </w:t>
      </w:r>
      <w:r w:rsidR="000F17CC">
        <w:t>a negative adjustment to its central funding</w:t>
      </w:r>
      <w:r w:rsidR="00B875ED">
        <w:t>, an inevitable consequence of the rate retention system created by the Department.  In 2016-17  222 authorities had a negative adjustment, a Tariff, that was greater than their RSG, by an aggregate £3,118 million</w:t>
      </w:r>
    </w:p>
    <w:p w:rsidR="00050418" w:rsidRDefault="00050418" w:rsidP="006332DD">
      <w:pPr>
        <w:pStyle w:val="ListParagraph"/>
        <w:ind w:left="426" w:hanging="426"/>
      </w:pPr>
    </w:p>
    <w:p w:rsidR="00050418" w:rsidRDefault="00050418" w:rsidP="006332DD">
      <w:pPr>
        <w:pStyle w:val="ListParagraph"/>
        <w:numPr>
          <w:ilvl w:val="1"/>
          <w:numId w:val="3"/>
        </w:numPr>
        <w:tabs>
          <w:tab w:val="left" w:pos="426"/>
        </w:tabs>
        <w:spacing w:line="240" w:lineRule="auto"/>
        <w:ind w:left="426" w:hanging="426"/>
      </w:pPr>
      <w:r>
        <w:t xml:space="preserve">In </w:t>
      </w:r>
      <w:r w:rsidR="009D6F45">
        <w:t xml:space="preserve">our </w:t>
      </w:r>
      <w:r>
        <w:t>2018 consultation response we produce</w:t>
      </w:r>
      <w:r w:rsidR="009D6F45">
        <w:t>d tables that compared cuts to C</w:t>
      </w:r>
      <w:r>
        <w:t xml:space="preserve">ore </w:t>
      </w:r>
      <w:r w:rsidR="009D6F45">
        <w:t>S</w:t>
      </w:r>
      <w:r>
        <w:t>pen</w:t>
      </w:r>
      <w:r w:rsidR="009D6F45">
        <w:t>ding P</w:t>
      </w:r>
      <w:r w:rsidR="00DB31DB">
        <w:t>ower with the various add-</w:t>
      </w:r>
      <w:r>
        <w:t>on gran</w:t>
      </w:r>
      <w:r w:rsidR="00983336">
        <w:t>ts that had been introduced by G</w:t>
      </w:r>
      <w:r>
        <w:t>overnment to alleviate perceived losses from funding cuts, it showed that some of the low</w:t>
      </w:r>
      <w:r w:rsidR="00DB31DB">
        <w:t>est cut authorities had been re</w:t>
      </w:r>
      <w:r>
        <w:t>imbursed RSG whilst some of the highest cuts had not:</w:t>
      </w:r>
    </w:p>
    <w:p w:rsidR="00050418" w:rsidRDefault="00050418" w:rsidP="00050418">
      <w:pPr>
        <w:pStyle w:val="ListParagraph"/>
        <w:rPr>
          <w:sz w:val="10"/>
          <w:szCs w:val="10"/>
        </w:rPr>
      </w:pPr>
    </w:p>
    <w:p w:rsidR="00050418" w:rsidRDefault="00E264ED" w:rsidP="009D6F45">
      <w:pPr>
        <w:pStyle w:val="ListParagraph"/>
        <w:tabs>
          <w:tab w:val="left" w:pos="426"/>
        </w:tabs>
        <w:spacing w:line="240" w:lineRule="auto"/>
        <w:ind w:left="426"/>
        <w:rPr>
          <w:b/>
          <w:color w:val="943634" w:themeColor="accent2" w:themeShade="BF"/>
          <w:u w:val="single"/>
        </w:rPr>
      </w:pPr>
      <w:r>
        <w:rPr>
          <w:b/>
          <w:color w:val="943634" w:themeColor="accent2" w:themeShade="BF"/>
          <w:u w:val="single"/>
        </w:rPr>
        <w:t xml:space="preserve"> </w:t>
      </w:r>
      <w:r w:rsidR="00050418" w:rsidRPr="00050418">
        <w:rPr>
          <w:b/>
          <w:color w:val="943634" w:themeColor="accent2" w:themeShade="BF"/>
          <w:u w:val="single"/>
        </w:rPr>
        <w:t xml:space="preserve">From consultation 2018 </w:t>
      </w:r>
    </w:p>
    <w:p w:rsidR="00050418" w:rsidRPr="00050418" w:rsidRDefault="00E264ED" w:rsidP="009D6F45">
      <w:pPr>
        <w:pStyle w:val="ListParagraph"/>
        <w:tabs>
          <w:tab w:val="left" w:pos="426"/>
        </w:tabs>
        <w:spacing w:line="240" w:lineRule="auto"/>
        <w:ind w:left="426"/>
        <w:rPr>
          <w:b/>
          <w:color w:val="943634" w:themeColor="accent2" w:themeShade="BF"/>
          <w:u w:val="single"/>
        </w:rPr>
      </w:pPr>
      <w:r>
        <w:rPr>
          <w:b/>
          <w:color w:val="943634" w:themeColor="accent2" w:themeShade="BF"/>
          <w:u w:val="single"/>
        </w:rPr>
        <w:t xml:space="preserve"> </w:t>
      </w:r>
      <w:r w:rsidR="00050418" w:rsidRPr="00050418">
        <w:rPr>
          <w:b/>
          <w:color w:val="943634" w:themeColor="accent2" w:themeShade="BF"/>
          <w:u w:val="single"/>
        </w:rPr>
        <w:t>Highest and lowest cuts to core spending power</w:t>
      </w:r>
    </w:p>
    <w:p w:rsidR="00050418" w:rsidRDefault="00050418" w:rsidP="00E264ED">
      <w:pPr>
        <w:pStyle w:val="ListParagraph"/>
        <w:ind w:left="567"/>
      </w:pPr>
      <w:r w:rsidRPr="00625089">
        <w:rPr>
          <w:noProof/>
          <w:lang w:eastAsia="en-GB"/>
        </w:rPr>
        <w:drawing>
          <wp:inline distT="0" distB="0" distL="0" distR="0" wp14:anchorId="3C7B2697" wp14:editId="5B84307E">
            <wp:extent cx="2501798" cy="33192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8891" cy="3328656"/>
                    </a:xfrm>
                    <a:prstGeom prst="rect">
                      <a:avLst/>
                    </a:prstGeom>
                    <a:noFill/>
                    <a:ln>
                      <a:noFill/>
                    </a:ln>
                  </pic:spPr>
                </pic:pic>
              </a:graphicData>
            </a:graphic>
          </wp:inline>
        </w:drawing>
      </w:r>
    </w:p>
    <w:p w:rsidR="00050418" w:rsidRDefault="00050418" w:rsidP="00050418">
      <w:pPr>
        <w:pStyle w:val="ListParagraph"/>
      </w:pPr>
    </w:p>
    <w:p w:rsidR="00FB1175" w:rsidRDefault="00B54396" w:rsidP="006332DD">
      <w:pPr>
        <w:pStyle w:val="ListParagraph"/>
        <w:numPr>
          <w:ilvl w:val="1"/>
          <w:numId w:val="3"/>
        </w:numPr>
        <w:tabs>
          <w:tab w:val="left" w:pos="426"/>
        </w:tabs>
        <w:spacing w:line="240" w:lineRule="auto"/>
        <w:ind w:left="426" w:hanging="426"/>
      </w:pPr>
      <w:r>
        <w:t>Therefore we do not support the extension of refunding negative RSG and suggest that i</w:t>
      </w:r>
      <w:r w:rsidR="00983336">
        <w:t>f G</w:t>
      </w:r>
      <w:r w:rsidR="00B875ED">
        <w:t>overnment has now decided it still has funds available within rate share to distribute to councils th</w:t>
      </w:r>
      <w:r w:rsidR="00E264ED">
        <w:t xml:space="preserve">is should be distributed to all councils, </w:t>
      </w:r>
      <w:r w:rsidR="00B875ED">
        <w:t>based on need.</w:t>
      </w:r>
    </w:p>
    <w:p w:rsidR="00FB1175" w:rsidRDefault="00FB1175" w:rsidP="00FB1175">
      <w:pPr>
        <w:pStyle w:val="ListParagraph"/>
      </w:pPr>
    </w:p>
    <w:p w:rsidR="00FB1175" w:rsidRPr="00DB31DB" w:rsidRDefault="00CE4BF0" w:rsidP="007C26F4">
      <w:pPr>
        <w:pStyle w:val="ListParagraph"/>
        <w:numPr>
          <w:ilvl w:val="0"/>
          <w:numId w:val="3"/>
        </w:numPr>
        <w:tabs>
          <w:tab w:val="left" w:pos="426"/>
        </w:tabs>
        <w:spacing w:line="240" w:lineRule="auto"/>
        <w:rPr>
          <w:b/>
        </w:rPr>
      </w:pPr>
      <w:r>
        <w:rPr>
          <w:b/>
        </w:rPr>
        <w:t>Q3</w:t>
      </w:r>
      <w:r w:rsidR="00FF4D9C">
        <w:rPr>
          <w:b/>
        </w:rPr>
        <w:t xml:space="preserve"> </w:t>
      </w:r>
      <w:r>
        <w:rPr>
          <w:b/>
        </w:rPr>
        <w:t>Do you agree with</w:t>
      </w:r>
      <w:r w:rsidR="007C26F4" w:rsidRPr="00DB31DB">
        <w:rPr>
          <w:b/>
        </w:rPr>
        <w:t xml:space="preserve"> the proposed package of council tax referendum principles for 2020-21</w:t>
      </w:r>
      <w:r w:rsidR="00DB31DB">
        <w:rPr>
          <w:b/>
        </w:rPr>
        <w:t>?</w:t>
      </w:r>
    </w:p>
    <w:p w:rsidR="00FB1175" w:rsidRDefault="00FB1175" w:rsidP="00FB1175">
      <w:pPr>
        <w:pStyle w:val="ListParagraph"/>
      </w:pPr>
    </w:p>
    <w:p w:rsidR="006332DD" w:rsidRDefault="00DB31DB" w:rsidP="006332DD">
      <w:pPr>
        <w:pStyle w:val="ListParagraph"/>
        <w:numPr>
          <w:ilvl w:val="1"/>
          <w:numId w:val="3"/>
        </w:numPr>
        <w:tabs>
          <w:tab w:val="left" w:pos="426"/>
        </w:tabs>
        <w:spacing w:line="240" w:lineRule="auto"/>
        <w:ind w:left="426" w:hanging="426"/>
      </w:pPr>
      <w:r>
        <w:t>We have already highlighted the cons</w:t>
      </w:r>
      <w:r w:rsidR="00E264ED">
        <w:t>equences of making councils more</w:t>
      </w:r>
      <w:r>
        <w:t xml:space="preserve"> dependent on locally raised taxation. Under the existing funding mechanism</w:t>
      </w:r>
      <w:r w:rsidR="00D56718">
        <w:t xml:space="preserve">, without equalisation, </w:t>
      </w:r>
      <w:r>
        <w:t>this causes a mismatch between funding and needs which works to the disadvantage of most of our members.</w:t>
      </w:r>
    </w:p>
    <w:p w:rsidR="00185288" w:rsidRDefault="00185288" w:rsidP="00185288">
      <w:pPr>
        <w:pStyle w:val="ListParagraph"/>
        <w:tabs>
          <w:tab w:val="left" w:pos="426"/>
        </w:tabs>
        <w:spacing w:line="240" w:lineRule="auto"/>
        <w:ind w:left="360"/>
      </w:pPr>
    </w:p>
    <w:p w:rsidR="00185288" w:rsidRDefault="00185288" w:rsidP="00185288">
      <w:pPr>
        <w:pStyle w:val="ListParagraph"/>
        <w:tabs>
          <w:tab w:val="left" w:pos="426"/>
        </w:tabs>
        <w:spacing w:line="240" w:lineRule="auto"/>
        <w:ind w:left="360"/>
      </w:pPr>
    </w:p>
    <w:p w:rsidR="00185288" w:rsidRDefault="00185288" w:rsidP="00185288">
      <w:pPr>
        <w:pStyle w:val="ListParagraph"/>
        <w:tabs>
          <w:tab w:val="left" w:pos="426"/>
        </w:tabs>
        <w:spacing w:line="240" w:lineRule="auto"/>
        <w:ind w:left="360"/>
      </w:pPr>
    </w:p>
    <w:p w:rsidR="00185288" w:rsidRDefault="00185288" w:rsidP="00185288">
      <w:pPr>
        <w:pStyle w:val="ListParagraph"/>
        <w:tabs>
          <w:tab w:val="left" w:pos="426"/>
        </w:tabs>
        <w:spacing w:line="240" w:lineRule="auto"/>
        <w:ind w:left="360"/>
      </w:pPr>
    </w:p>
    <w:p w:rsidR="00185288" w:rsidRDefault="00185288" w:rsidP="00185288">
      <w:pPr>
        <w:pStyle w:val="ListParagraph"/>
        <w:tabs>
          <w:tab w:val="left" w:pos="426"/>
        </w:tabs>
        <w:spacing w:line="240" w:lineRule="auto"/>
        <w:ind w:left="360"/>
      </w:pPr>
    </w:p>
    <w:p w:rsidR="006332DD" w:rsidRPr="006332DD" w:rsidRDefault="006332DD" w:rsidP="006332DD">
      <w:pPr>
        <w:pStyle w:val="ListParagraph"/>
        <w:tabs>
          <w:tab w:val="left" w:pos="426"/>
        </w:tabs>
        <w:spacing w:line="240" w:lineRule="auto"/>
        <w:ind w:left="426"/>
        <w:rPr>
          <w:b/>
          <w:color w:val="943634" w:themeColor="accent2" w:themeShade="BF"/>
          <w:u w:val="single"/>
        </w:rPr>
      </w:pPr>
      <w:r w:rsidRPr="006332DD">
        <w:rPr>
          <w:b/>
          <w:color w:val="943634" w:themeColor="accent2" w:themeShade="BF"/>
          <w:u w:val="single"/>
        </w:rPr>
        <w:lastRenderedPageBreak/>
        <w:t xml:space="preserve">Ratio of Council Tax to Core Spending </w:t>
      </w:r>
      <w:proofErr w:type="gramStart"/>
      <w:r w:rsidRPr="006332DD">
        <w:rPr>
          <w:b/>
          <w:color w:val="943634" w:themeColor="accent2" w:themeShade="BF"/>
          <w:u w:val="single"/>
        </w:rPr>
        <w:t xml:space="preserve">Power </w:t>
      </w:r>
      <w:r w:rsidR="00234E8B">
        <w:rPr>
          <w:b/>
          <w:color w:val="943634" w:themeColor="accent2" w:themeShade="BF"/>
          <w:u w:val="single"/>
        </w:rPr>
        <w:t xml:space="preserve"> </w:t>
      </w:r>
      <w:r w:rsidRPr="006332DD">
        <w:rPr>
          <w:b/>
          <w:color w:val="943634" w:themeColor="accent2" w:themeShade="BF"/>
          <w:u w:val="single"/>
        </w:rPr>
        <w:t>All</w:t>
      </w:r>
      <w:proofErr w:type="gramEnd"/>
      <w:r w:rsidRPr="006332DD">
        <w:rPr>
          <w:b/>
          <w:color w:val="943634" w:themeColor="accent2" w:themeShade="BF"/>
          <w:u w:val="single"/>
        </w:rPr>
        <w:t xml:space="preserve"> councils – SIGOMA in red</w:t>
      </w:r>
      <w:r w:rsidR="0026589F">
        <w:rPr>
          <w:b/>
          <w:color w:val="943634" w:themeColor="accent2" w:themeShade="BF"/>
          <w:u w:val="single"/>
        </w:rPr>
        <w:t>/white</w:t>
      </w:r>
    </w:p>
    <w:p w:rsidR="00FB1175" w:rsidRDefault="00217DDB" w:rsidP="00FB1175">
      <w:pPr>
        <w:pStyle w:val="ListParagraph"/>
      </w:pPr>
      <w:r>
        <w:rPr>
          <w:noProof/>
          <w:lang w:eastAsia="en-GB"/>
        </w:rPr>
        <mc:AlternateContent>
          <mc:Choice Requires="wps">
            <w:drawing>
              <wp:anchor distT="0" distB="0" distL="114300" distR="114300" simplePos="0" relativeHeight="251685888" behindDoc="0" locked="0" layoutInCell="1" allowOverlap="1">
                <wp:simplePos x="0" y="0"/>
                <wp:positionH relativeFrom="column">
                  <wp:posOffset>804545</wp:posOffset>
                </wp:positionH>
                <wp:positionV relativeFrom="paragraph">
                  <wp:posOffset>573710</wp:posOffset>
                </wp:positionV>
                <wp:extent cx="665683" cy="248717"/>
                <wp:effectExtent l="0" t="0" r="0" b="37465"/>
                <wp:wrapNone/>
                <wp:docPr id="4" name="Rectangle 4"/>
                <wp:cNvGraphicFramePr/>
                <a:graphic xmlns:a="http://schemas.openxmlformats.org/drawingml/2006/main">
                  <a:graphicData uri="http://schemas.microsoft.com/office/word/2010/wordprocessingShape">
                    <wps:wsp>
                      <wps:cNvSpPr/>
                      <wps:spPr>
                        <a:xfrm>
                          <a:off x="0" y="0"/>
                          <a:ext cx="665683" cy="248717"/>
                        </a:xfrm>
                        <a:prstGeom prst="rect">
                          <a:avLst/>
                        </a:prstGeom>
                        <a:noFill/>
                        <a:ln>
                          <a:noFill/>
                        </a:ln>
                      </wps:spPr>
                      <wps:style>
                        <a:lnRef idx="1">
                          <a:schemeClr val="dk1"/>
                        </a:lnRef>
                        <a:fillRef idx="2">
                          <a:schemeClr val="dk1"/>
                        </a:fillRef>
                        <a:effectRef idx="1">
                          <a:schemeClr val="dk1"/>
                        </a:effectRef>
                        <a:fontRef idx="minor">
                          <a:schemeClr val="dk1"/>
                        </a:fontRef>
                      </wps:style>
                      <wps:txbx>
                        <w:txbxContent>
                          <w:p w:rsidR="00217DDB" w:rsidRPr="00217DDB" w:rsidRDefault="00217DDB" w:rsidP="00217DDB">
                            <w:pPr>
                              <w:jc w:val="center"/>
                              <w:rPr>
                                <w:sz w:val="14"/>
                                <w:szCs w:val="14"/>
                              </w:rPr>
                            </w:pPr>
                            <w:r w:rsidRPr="00217DDB">
                              <w:rPr>
                                <w:sz w:val="14"/>
                                <w:szCs w:val="14"/>
                              </w:rPr>
                              <w:t>Average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63.35pt;margin-top:45.15pt;width:52.4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" filled="f" stroked="f">
                <v:shadow on="t" color="black" opacity="24903f" origin=",.5" offset="0,.55556mm"/>
                <v:textbox>
                  <w:txbxContent>
                    <w:p w:rsidR="00217DDB" w:rsidRPr="00217DDB" w:rsidRDefault="00217DDB" w:rsidP="00217DDB">
                      <w:pPr>
                        <w:jc w:val="center"/>
                        <w:rPr>
                          <w:sz w:val="14"/>
                          <w:szCs w:val="14"/>
                        </w:rPr>
                      </w:pPr>
                      <w:r w:rsidRPr="00217DDB">
                        <w:rPr>
                          <w:sz w:val="14"/>
                          <w:szCs w:val="14"/>
                        </w:rPr>
                        <w:t>Average</w:t>
                      </w:r>
                    </w:p>
                  </w:txbxContent>
                </v:textbox>
              </v:rect>
            </w:pict>
          </mc:Fallback>
        </mc:AlternateContent>
      </w:r>
      <w:r w:rsidR="0026589F">
        <w:rPr>
          <w:noProof/>
          <w:lang w:eastAsia="en-GB"/>
        </w:rPr>
        <w:drawing>
          <wp:inline distT="0" distB="0" distL="0" distR="0" wp14:anchorId="4BE52EA4">
            <wp:extent cx="3101644" cy="1643862"/>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9819" cy="1653495"/>
                    </a:xfrm>
                    <a:prstGeom prst="rect">
                      <a:avLst/>
                    </a:prstGeom>
                    <a:noFill/>
                  </pic:spPr>
                </pic:pic>
              </a:graphicData>
            </a:graphic>
          </wp:inline>
        </w:drawing>
      </w:r>
    </w:p>
    <w:p w:rsidR="00701DFD" w:rsidRPr="00234E8B" w:rsidRDefault="00701DFD" w:rsidP="00701DFD">
      <w:pPr>
        <w:pStyle w:val="ListParagraph"/>
        <w:rPr>
          <w:color w:val="BFBFBF" w:themeColor="background1" w:themeShade="BF"/>
          <w:sz w:val="12"/>
          <w:szCs w:val="12"/>
        </w:rPr>
      </w:pPr>
      <w:r w:rsidRPr="00234E8B">
        <w:rPr>
          <w:color w:val="BFBFBF" w:themeColor="background1" w:themeShade="BF"/>
          <w:sz w:val="12"/>
          <w:szCs w:val="12"/>
        </w:rPr>
        <w:t>Settlements\2019-20</w:t>
      </w:r>
      <w:proofErr w:type="gramStart"/>
      <w:r w:rsidRPr="00234E8B">
        <w:rPr>
          <w:color w:val="BFBFBF" w:themeColor="background1" w:themeShade="BF"/>
          <w:sz w:val="12"/>
          <w:szCs w:val="12"/>
        </w:rPr>
        <w:t>\[</w:t>
      </w:r>
      <w:proofErr w:type="gramEnd"/>
      <w:r w:rsidRPr="00234E8B">
        <w:rPr>
          <w:color w:val="BFBFBF" w:themeColor="background1" w:themeShade="BF"/>
          <w:sz w:val="12"/>
          <w:szCs w:val="12"/>
        </w:rPr>
        <w:t>Core Spending Power_supporting_info Draft.xlsx]2019-20</w:t>
      </w:r>
    </w:p>
    <w:p w:rsidR="00701DFD" w:rsidRDefault="00701DFD" w:rsidP="00FB1175">
      <w:pPr>
        <w:pStyle w:val="ListParagraph"/>
      </w:pPr>
    </w:p>
    <w:p w:rsidR="00FB1175" w:rsidRDefault="006332DD" w:rsidP="006332DD">
      <w:pPr>
        <w:pStyle w:val="ListParagraph"/>
        <w:numPr>
          <w:ilvl w:val="1"/>
          <w:numId w:val="3"/>
        </w:numPr>
        <w:tabs>
          <w:tab w:val="left" w:pos="426"/>
        </w:tabs>
        <w:spacing w:line="240" w:lineRule="auto"/>
        <w:ind w:left="426" w:hanging="426"/>
      </w:pPr>
      <w:r>
        <w:t>There is little doubt amongst our members that the Council Tax system stands in need of an overhaul. This view has been endorsed recently by the Housing Communities and Local Government Committee in their report</w:t>
      </w:r>
      <w:r>
        <w:rPr>
          <w:rStyle w:val="FootnoteReference"/>
        </w:rPr>
        <w:footnoteReference w:id="8"/>
      </w:r>
      <w:r>
        <w:t xml:space="preserve"> which includes the recommendation that:</w:t>
      </w:r>
    </w:p>
    <w:p w:rsidR="006332DD" w:rsidRDefault="006332DD" w:rsidP="006332DD">
      <w:pPr>
        <w:pStyle w:val="ListParagraph"/>
        <w:tabs>
          <w:tab w:val="left" w:pos="426"/>
        </w:tabs>
        <w:spacing w:line="240" w:lineRule="auto"/>
        <w:ind w:left="426"/>
      </w:pPr>
    </w:p>
    <w:p w:rsidR="00DB31DB" w:rsidRDefault="006332DD" w:rsidP="00DB31DB">
      <w:pPr>
        <w:pStyle w:val="ListParagraph"/>
        <w:rPr>
          <w:rFonts w:ascii="Times New Roman" w:hAnsi="Times New Roman" w:cs="Times New Roman"/>
          <w:i/>
        </w:rPr>
      </w:pPr>
      <w:r w:rsidRPr="006332DD">
        <w:rPr>
          <w:rFonts w:ascii="Times New Roman" w:hAnsi="Times New Roman" w:cs="Times New Roman"/>
          <w:i/>
        </w:rPr>
        <w:t>A revaluation for council tax purposes is long overdue. The Government should hold a review into how a revaluation could be implemented without dramatic increases for individual households. Any revaluation should be revenue neutral at the national level.</w:t>
      </w:r>
    </w:p>
    <w:p w:rsidR="006332DD" w:rsidRPr="00D56718" w:rsidRDefault="006332DD" w:rsidP="00DB31DB">
      <w:pPr>
        <w:pStyle w:val="ListParagraph"/>
        <w:rPr>
          <w:rFonts w:cs="Arial"/>
          <w:sz w:val="24"/>
          <w:szCs w:val="24"/>
        </w:rPr>
      </w:pPr>
    </w:p>
    <w:p w:rsidR="00DB31DB" w:rsidRDefault="00D56718" w:rsidP="00D56718">
      <w:pPr>
        <w:pStyle w:val="ListParagraph"/>
        <w:numPr>
          <w:ilvl w:val="1"/>
          <w:numId w:val="3"/>
        </w:numPr>
        <w:tabs>
          <w:tab w:val="left" w:pos="426"/>
        </w:tabs>
        <w:spacing w:line="240" w:lineRule="auto"/>
        <w:ind w:left="426" w:hanging="426"/>
      </w:pPr>
      <w:r>
        <w:t>We support the LGA in their call for removal of the referendum cap and in a call for a review of the Council Tax system</w:t>
      </w:r>
      <w:r w:rsidR="00CA1B4F">
        <w:t>.</w:t>
      </w:r>
    </w:p>
    <w:p w:rsidR="00DB31DB" w:rsidRDefault="00DB31DB" w:rsidP="00DB31DB">
      <w:pPr>
        <w:pStyle w:val="ListParagraph"/>
      </w:pPr>
    </w:p>
    <w:p w:rsidR="00DB31DB" w:rsidRDefault="00D56718" w:rsidP="00D56718">
      <w:pPr>
        <w:pStyle w:val="ListParagraph"/>
        <w:numPr>
          <w:ilvl w:val="1"/>
          <w:numId w:val="3"/>
        </w:numPr>
        <w:tabs>
          <w:tab w:val="left" w:pos="426"/>
        </w:tabs>
        <w:spacing w:line="240" w:lineRule="auto"/>
        <w:ind w:left="426" w:hanging="426"/>
      </w:pPr>
      <w:r>
        <w:t xml:space="preserve">We call for an equalising adjustment between councils to </w:t>
      </w:r>
      <w:r w:rsidR="00E264ED">
        <w:t>recognise the different tax rais</w:t>
      </w:r>
      <w:r>
        <w:t>ing capacities of councils.</w:t>
      </w:r>
    </w:p>
    <w:p w:rsidR="00DB31DB" w:rsidRDefault="00DB31DB" w:rsidP="00CA1B4F">
      <w:pPr>
        <w:pStyle w:val="ListParagraph"/>
        <w:tabs>
          <w:tab w:val="left" w:pos="426"/>
        </w:tabs>
        <w:spacing w:line="240" w:lineRule="auto"/>
        <w:ind w:left="0"/>
      </w:pPr>
    </w:p>
    <w:p w:rsidR="00DB31DB" w:rsidRDefault="00DB31DB" w:rsidP="00DB31DB">
      <w:pPr>
        <w:pStyle w:val="ListParagraph"/>
      </w:pPr>
    </w:p>
    <w:p w:rsidR="00DB31DB" w:rsidRPr="000B11B6" w:rsidRDefault="00217DDB" w:rsidP="000B11B6">
      <w:pPr>
        <w:pStyle w:val="ListParagraph"/>
        <w:numPr>
          <w:ilvl w:val="0"/>
          <w:numId w:val="3"/>
        </w:numPr>
        <w:tabs>
          <w:tab w:val="left" w:pos="426"/>
        </w:tabs>
        <w:spacing w:line="240" w:lineRule="auto"/>
        <w:rPr>
          <w:b/>
        </w:rPr>
      </w:pPr>
      <w:r>
        <w:rPr>
          <w:b/>
        </w:rPr>
        <w:t>Q 4</w:t>
      </w:r>
      <w:r w:rsidR="00FF4D9C">
        <w:rPr>
          <w:b/>
        </w:rPr>
        <w:t xml:space="preserve"> </w:t>
      </w:r>
      <w:r w:rsidR="00860F83">
        <w:rPr>
          <w:b/>
        </w:rPr>
        <w:t>Do you agree with the Governments pr</w:t>
      </w:r>
      <w:r w:rsidR="000B11B6">
        <w:rPr>
          <w:b/>
        </w:rPr>
        <w:t>oposals for Social Care Grant</w:t>
      </w:r>
      <w:r w:rsidR="00860F83" w:rsidRPr="000B11B6">
        <w:rPr>
          <w:b/>
        </w:rPr>
        <w:t xml:space="preserve"> 2020-21</w:t>
      </w:r>
      <w:r w:rsidR="00CA1B4F" w:rsidRPr="000B11B6">
        <w:rPr>
          <w:b/>
        </w:rPr>
        <w:t>?</w:t>
      </w:r>
    </w:p>
    <w:p w:rsidR="00D56718" w:rsidRDefault="00D56718" w:rsidP="00D56718">
      <w:pPr>
        <w:pStyle w:val="ListParagraph"/>
      </w:pPr>
    </w:p>
    <w:p w:rsidR="00D56718" w:rsidRDefault="00E43F77" w:rsidP="00D56718">
      <w:pPr>
        <w:pStyle w:val="ListParagraph"/>
        <w:numPr>
          <w:ilvl w:val="1"/>
          <w:numId w:val="3"/>
        </w:numPr>
        <w:tabs>
          <w:tab w:val="left" w:pos="426"/>
        </w:tabs>
        <w:spacing w:line="240" w:lineRule="auto"/>
        <w:ind w:left="426" w:hanging="426"/>
      </w:pPr>
      <w:r>
        <w:t xml:space="preserve">It is welcome that the Government has </w:t>
      </w:r>
      <w:r w:rsidR="0073782B">
        <w:t>recognised the</w:t>
      </w:r>
      <w:r>
        <w:t xml:space="preserve"> importance of social care funding in this settlement. It is disappointing that the Department has chosen to make its announcement of additional funding an all embracing reference to adults and </w:t>
      </w:r>
      <w:r w:rsidR="0073782B">
        <w:t>children’s</w:t>
      </w:r>
      <w:r>
        <w:t xml:space="preserve"> social care without any evaluation or recognition of the dual pressure created on </w:t>
      </w:r>
      <w:r w:rsidR="00E03315">
        <w:t>councils</w:t>
      </w:r>
      <w:r>
        <w:t xml:space="preserve"> by both these services.</w:t>
      </w:r>
    </w:p>
    <w:p w:rsidR="00D56718" w:rsidRDefault="00D56718" w:rsidP="00D56718">
      <w:pPr>
        <w:pStyle w:val="ListParagraph"/>
      </w:pPr>
    </w:p>
    <w:p w:rsidR="00D56718" w:rsidRDefault="00E43F77" w:rsidP="00D56718">
      <w:pPr>
        <w:pStyle w:val="ListParagraph"/>
        <w:numPr>
          <w:ilvl w:val="1"/>
          <w:numId w:val="3"/>
        </w:numPr>
        <w:tabs>
          <w:tab w:val="left" w:pos="426"/>
        </w:tabs>
        <w:spacing w:line="240" w:lineRule="auto"/>
        <w:ind w:left="426" w:hanging="426"/>
      </w:pPr>
      <w:r>
        <w:t>To over focus on adult social care would be to miss a looming pressure that ranks equally with adults and presents</w:t>
      </w:r>
      <w:r w:rsidR="00E03315">
        <w:t xml:space="preserve"> authorities with a comparable unavoidable and uncontrollable demand.</w:t>
      </w:r>
      <w:r w:rsidR="00AB44C0">
        <w:t xml:space="preserve"> Together</w:t>
      </w:r>
      <w:r w:rsidR="006F3D8D">
        <w:t>, Children’s and Adults Social Care now represent over half of c</w:t>
      </w:r>
      <w:r w:rsidR="00AB44C0">
        <w:t>ouncil net service expenditure</w:t>
      </w:r>
      <w:r w:rsidR="00AB44C0">
        <w:rPr>
          <w:rStyle w:val="FootnoteReference"/>
        </w:rPr>
        <w:footnoteReference w:id="9"/>
      </w:r>
      <w:r w:rsidR="00AB44C0">
        <w:t xml:space="preserve"> and both have been protected  by councils to the detriment of other services or reserves</w:t>
      </w:r>
      <w:r w:rsidR="00AA55C2">
        <w:t xml:space="preserve"> in a way that is not sustainable with</w:t>
      </w:r>
      <w:r w:rsidR="00CA1B4F">
        <w:t>out</w:t>
      </w:r>
      <w:r w:rsidR="00AA55C2">
        <w:t xml:space="preserve"> further funding for both.</w:t>
      </w:r>
      <w:r w:rsidR="00EB4956" w:rsidRPr="00EB4956">
        <w:t xml:space="preserve"> </w:t>
      </w:r>
      <w:r w:rsidR="00EB4956">
        <w:t xml:space="preserve"> In a recent survey of our councils conducted during a meeting councils were asked to risk assess care services in a RAG rating, many members showed </w:t>
      </w:r>
      <w:r w:rsidR="0073782B">
        <w:t>children’s</w:t>
      </w:r>
      <w:r w:rsidR="00EB4956">
        <w:t xml:space="preserve"> services as a Red rating, with urgent funding pressures.</w:t>
      </w:r>
    </w:p>
    <w:p w:rsidR="00FB1096" w:rsidRDefault="00FB1096" w:rsidP="00FB1096"/>
    <w:p w:rsidR="00D56718" w:rsidRDefault="00701DFD" w:rsidP="00FB1096">
      <w:pPr>
        <w:pStyle w:val="ListParagraph"/>
      </w:pPr>
      <w:r>
        <w:rPr>
          <w:noProof/>
          <w:lang w:eastAsia="en-GB"/>
        </w:rPr>
        <w:lastRenderedPageBreak/>
        <mc:AlternateContent>
          <mc:Choice Requires="wps">
            <w:drawing>
              <wp:anchor distT="0" distB="0" distL="114300" distR="114300" simplePos="0" relativeHeight="251677696" behindDoc="0" locked="0" layoutInCell="1" allowOverlap="1" wp14:anchorId="11B8A12C" wp14:editId="730BD425">
                <wp:simplePos x="0" y="0"/>
                <wp:positionH relativeFrom="column">
                  <wp:posOffset>3002280</wp:posOffset>
                </wp:positionH>
                <wp:positionV relativeFrom="paragraph">
                  <wp:posOffset>1257935</wp:posOffset>
                </wp:positionV>
                <wp:extent cx="299720" cy="197485"/>
                <wp:effectExtent l="0" t="0" r="0" b="0"/>
                <wp:wrapNone/>
                <wp:docPr id="19" name="Rectangle 19"/>
                <wp:cNvGraphicFramePr/>
                <a:graphic xmlns:a="http://schemas.openxmlformats.org/drawingml/2006/main">
                  <a:graphicData uri="http://schemas.microsoft.com/office/word/2010/wordprocessingShape">
                    <wps:wsp>
                      <wps:cNvSpPr/>
                      <wps:spPr>
                        <a:xfrm>
                          <a:off x="0" y="0"/>
                          <a:ext cx="299720" cy="197485"/>
                        </a:xfrm>
                        <a:prstGeom prst="rect">
                          <a:avLst/>
                        </a:prstGeom>
                        <a:noFill/>
                        <a:ln w="3175" cap="flat" cmpd="sng" algn="ctr">
                          <a:noFill/>
                          <a:prstDash val="solid"/>
                        </a:ln>
                        <a:effectLst/>
                      </wps:spPr>
                      <wps:txbx>
                        <w:txbxContent>
                          <w:p w:rsidR="00701DFD" w:rsidRPr="00701DFD" w:rsidRDefault="00701DFD" w:rsidP="00701DFD">
                            <w:pPr>
                              <w:rPr>
                                <w:sz w:val="8"/>
                                <w:szCs w:val="8"/>
                              </w:rPr>
                            </w:pPr>
                            <w:r>
                              <w:rPr>
                                <w:color w:val="000000" w:themeColor="text1"/>
                                <w:sz w:val="8"/>
                                <w:szCs w:val="8"/>
                              </w:rPr>
                              <w:t>GF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7" style="position:absolute;left:0;text-align:left;margin-left:236.4pt;margin-top:99.05pt;width:23.6pt;height:1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" filled="f" stroked="f" strokeweight=".25pt">
                <v:textbox>
                  <w:txbxContent>
                    <w:p w:rsidR="00701DFD" w:rsidRPr="00701DFD" w:rsidRDefault="00701DFD" w:rsidP="00701DFD">
                      <w:pPr>
                        <w:rPr>
                          <w:sz w:val="8"/>
                          <w:szCs w:val="8"/>
                        </w:rPr>
                      </w:pPr>
                      <w:r>
                        <w:rPr>
                          <w:color w:val="000000" w:themeColor="text1"/>
                          <w:sz w:val="8"/>
                          <w:szCs w:val="8"/>
                        </w:rPr>
                        <w:t>GF</w:t>
                      </w:r>
                    </w:p>
                  </w:txbxContent>
                </v:textbox>
              </v:rect>
            </w:pict>
          </mc:Fallback>
        </mc:AlternateContent>
      </w:r>
      <w:r>
        <w:rPr>
          <w:noProof/>
          <w:lang w:eastAsia="en-GB"/>
        </w:rPr>
        <mc:AlternateContent>
          <mc:Choice Requires="wps">
            <w:drawing>
              <wp:anchor distT="0" distB="0" distL="114300" distR="114300" simplePos="0" relativeHeight="251673600" behindDoc="0" locked="0" layoutInCell="1" allowOverlap="1" wp14:anchorId="685A8703" wp14:editId="73FA6ACF">
                <wp:simplePos x="0" y="0"/>
                <wp:positionH relativeFrom="column">
                  <wp:posOffset>2939415</wp:posOffset>
                </wp:positionH>
                <wp:positionV relativeFrom="paragraph">
                  <wp:posOffset>220980</wp:posOffset>
                </wp:positionV>
                <wp:extent cx="299720" cy="197485"/>
                <wp:effectExtent l="0" t="0" r="0" b="0"/>
                <wp:wrapNone/>
                <wp:docPr id="17" name="Rectangle 17"/>
                <wp:cNvGraphicFramePr/>
                <a:graphic xmlns:a="http://schemas.openxmlformats.org/drawingml/2006/main">
                  <a:graphicData uri="http://schemas.microsoft.com/office/word/2010/wordprocessingShape">
                    <wps:wsp>
                      <wps:cNvSpPr/>
                      <wps:spPr>
                        <a:xfrm>
                          <a:off x="0" y="0"/>
                          <a:ext cx="299720" cy="197485"/>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701DFD" w:rsidRPr="00701DFD" w:rsidRDefault="00701DFD" w:rsidP="00701DFD">
                            <w:pPr>
                              <w:rPr>
                                <w:sz w:val="8"/>
                                <w:szCs w:val="8"/>
                              </w:rPr>
                            </w:pPr>
                            <w:r>
                              <w:rPr>
                                <w:color w:val="000000" w:themeColor="text1"/>
                                <w:sz w:val="8"/>
                                <w:szCs w:val="8"/>
                              </w:rPr>
                              <w:t>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8" style="position:absolute;left:0;text-align:left;margin-left:231.45pt;margin-top:17.4pt;width:23.6pt;height:1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" filled="f" stroked="f" strokeweight=".25pt">
                <v:textbox>
                  <w:txbxContent>
                    <w:p w:rsidR="00701DFD" w:rsidRPr="00701DFD" w:rsidRDefault="00701DFD" w:rsidP="00701DFD">
                      <w:pPr>
                        <w:rPr>
                          <w:sz w:val="8"/>
                          <w:szCs w:val="8"/>
                        </w:rPr>
                      </w:pPr>
                      <w:r>
                        <w:rPr>
                          <w:color w:val="000000" w:themeColor="text1"/>
                          <w:sz w:val="8"/>
                          <w:szCs w:val="8"/>
                        </w:rPr>
                        <w:t>CT</w:t>
                      </w:r>
                    </w:p>
                  </w:txbxContent>
                </v:textbox>
              </v:rect>
            </w:pict>
          </mc:Fallback>
        </mc:AlternateContent>
      </w:r>
      <w:r>
        <w:rPr>
          <w:noProof/>
          <w:lang w:eastAsia="en-GB"/>
        </w:rPr>
        <mc:AlternateContent>
          <mc:Choice Requires="wps">
            <w:drawing>
              <wp:anchor distT="0" distB="0" distL="114300" distR="114300" simplePos="0" relativeHeight="251675648" behindDoc="0" locked="0" layoutInCell="1" allowOverlap="1" wp14:anchorId="68E0768A" wp14:editId="06308958">
                <wp:simplePos x="0" y="0"/>
                <wp:positionH relativeFrom="column">
                  <wp:posOffset>2996565</wp:posOffset>
                </wp:positionH>
                <wp:positionV relativeFrom="paragraph">
                  <wp:posOffset>849630</wp:posOffset>
                </wp:positionV>
                <wp:extent cx="299720" cy="197485"/>
                <wp:effectExtent l="0" t="0" r="0" b="0"/>
                <wp:wrapNone/>
                <wp:docPr id="18" name="Rectangle 18"/>
                <wp:cNvGraphicFramePr/>
                <a:graphic xmlns:a="http://schemas.openxmlformats.org/drawingml/2006/main">
                  <a:graphicData uri="http://schemas.microsoft.com/office/word/2010/wordprocessingShape">
                    <wps:wsp>
                      <wps:cNvSpPr/>
                      <wps:spPr>
                        <a:xfrm>
                          <a:off x="0" y="0"/>
                          <a:ext cx="299720" cy="197485"/>
                        </a:xfrm>
                        <a:prstGeom prst="rect">
                          <a:avLst/>
                        </a:prstGeom>
                        <a:noFill/>
                        <a:ln w="3175" cap="flat" cmpd="sng" algn="ctr">
                          <a:noFill/>
                          <a:prstDash val="solid"/>
                        </a:ln>
                        <a:effectLst/>
                      </wps:spPr>
                      <wps:txbx>
                        <w:txbxContent>
                          <w:p w:rsidR="00701DFD" w:rsidRPr="00701DFD" w:rsidRDefault="00701DFD" w:rsidP="00701DFD">
                            <w:pPr>
                              <w:rPr>
                                <w:sz w:val="8"/>
                                <w:szCs w:val="8"/>
                              </w:rPr>
                            </w:pPr>
                            <w:r w:rsidRPr="00701DFD">
                              <w:rPr>
                                <w:color w:val="000000" w:themeColor="text1"/>
                                <w:sz w:val="8"/>
                                <w:szCs w:val="8"/>
                              </w:rPr>
                              <w:t>RSP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9" style="position:absolute;left:0;text-align:left;margin-left:235.95pt;margin-top:66.9pt;width:23.6pt;height:1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" filled="f" stroked="f" strokeweight=".25pt">
                <v:textbox>
                  <w:txbxContent>
                    <w:p w:rsidR="00701DFD" w:rsidRPr="00701DFD" w:rsidRDefault="00701DFD" w:rsidP="00701DFD">
                      <w:pPr>
                        <w:rPr>
                          <w:sz w:val="8"/>
                          <w:szCs w:val="8"/>
                        </w:rPr>
                      </w:pPr>
                      <w:r w:rsidRPr="00701DFD">
                        <w:rPr>
                          <w:color w:val="000000" w:themeColor="text1"/>
                          <w:sz w:val="8"/>
                          <w:szCs w:val="8"/>
                        </w:rPr>
                        <w:t>RSP</w:t>
                      </w:r>
                    </w:p>
                  </w:txbxContent>
                </v:textbox>
              </v:rect>
            </w:pict>
          </mc:Fallback>
        </mc:AlternateContent>
      </w:r>
      <w:r w:rsidR="00FB1096">
        <w:rPr>
          <w:noProof/>
          <w:lang w:eastAsia="en-GB"/>
        </w:rPr>
        <mc:AlternateContent>
          <mc:Choice Requires="wps">
            <w:drawing>
              <wp:anchor distT="0" distB="0" distL="114300" distR="114300" simplePos="0" relativeHeight="251661312" behindDoc="0" locked="0" layoutInCell="1" allowOverlap="1" wp14:anchorId="0F119617" wp14:editId="30B7AEC6">
                <wp:simplePos x="0" y="0"/>
                <wp:positionH relativeFrom="column">
                  <wp:posOffset>3350362</wp:posOffset>
                </wp:positionH>
                <wp:positionV relativeFrom="paragraph">
                  <wp:posOffset>40970</wp:posOffset>
                </wp:positionV>
                <wp:extent cx="2801721" cy="1865376"/>
                <wp:effectExtent l="0" t="0" r="17780" b="20955"/>
                <wp:wrapNone/>
                <wp:docPr id="6" name="Rectangle 6"/>
                <wp:cNvGraphicFramePr/>
                <a:graphic xmlns:a="http://schemas.openxmlformats.org/drawingml/2006/main">
                  <a:graphicData uri="http://schemas.microsoft.com/office/word/2010/wordprocessingShape">
                    <wps:wsp>
                      <wps:cNvSpPr/>
                      <wps:spPr>
                        <a:xfrm>
                          <a:off x="0" y="0"/>
                          <a:ext cx="2801721" cy="1865376"/>
                        </a:xfrm>
                        <a:prstGeom prst="rect">
                          <a:avLst/>
                        </a:prstGeom>
                      </wps:spPr>
                      <wps:style>
                        <a:lnRef idx="2">
                          <a:schemeClr val="accent1"/>
                        </a:lnRef>
                        <a:fillRef idx="1">
                          <a:schemeClr val="lt1"/>
                        </a:fillRef>
                        <a:effectRef idx="0">
                          <a:schemeClr val="accent1"/>
                        </a:effectRef>
                        <a:fontRef idx="minor">
                          <a:schemeClr val="dk1"/>
                        </a:fontRef>
                      </wps:style>
                      <wps:txbx>
                        <w:txbxContent>
                          <w:p w:rsidR="00FB1096" w:rsidRDefault="00FB1096" w:rsidP="00FB1096">
                            <w:pPr>
                              <w:jc w:val="center"/>
                            </w:pPr>
                            <w:r>
                              <w:t>The charts opposite and below show that whilst spending power has been falling dramatically, -28.5% in real terms</w:t>
                            </w:r>
                            <w:r w:rsidR="006F3D8D">
                              <w:t xml:space="preserve"> to 2017-18</w:t>
                            </w:r>
                            <w:r>
                              <w:t xml:space="preserve">, spending on adult </w:t>
                            </w:r>
                            <w:r w:rsidRPr="00FB1096">
                              <w:rPr>
                                <w:u w:val="single"/>
                              </w:rPr>
                              <w:t>and children</w:t>
                            </w:r>
                            <w:r w:rsidR="00930E22">
                              <w:rPr>
                                <w:u w:val="single"/>
                              </w:rPr>
                              <w:t>’</w:t>
                            </w:r>
                            <w:r w:rsidRPr="00FB1096">
                              <w:rPr>
                                <w:u w:val="single"/>
                              </w:rPr>
                              <w:t>s</w:t>
                            </w:r>
                            <w:r>
                              <w:t xml:space="preserve"> social care has been sustained in recognition of the high risk associated with these services</w:t>
                            </w:r>
                          </w:p>
                          <w:p w:rsidR="00FB1096" w:rsidRPr="00AA55C2" w:rsidRDefault="00FB1096" w:rsidP="00FB1096">
                            <w:pPr>
                              <w:jc w:val="center"/>
                              <w:rPr>
                                <w:sz w:val="14"/>
                                <w:szCs w:val="14"/>
                              </w:rPr>
                            </w:pPr>
                            <w:r w:rsidRPr="00AA55C2">
                              <w:rPr>
                                <w:sz w:val="14"/>
                                <w:szCs w:val="14"/>
                              </w:rPr>
                              <w:t xml:space="preserve">(Source ONS 2018 data visualisation, </w:t>
                            </w:r>
                            <w:r w:rsidR="006F3D8D">
                              <w:rPr>
                                <w:sz w:val="14"/>
                                <w:szCs w:val="14"/>
                              </w:rPr>
                              <w:t>R</w:t>
                            </w:r>
                            <w:r w:rsidRPr="00AA55C2">
                              <w:rPr>
                                <w:sz w:val="14"/>
                                <w:szCs w:val="14"/>
                              </w:rPr>
                              <w:t xml:space="preserve">evenue </w:t>
                            </w:r>
                            <w:r w:rsidR="006F3D8D">
                              <w:rPr>
                                <w:sz w:val="14"/>
                                <w:szCs w:val="14"/>
                              </w:rPr>
                              <w:t>Spending P</w:t>
                            </w:r>
                            <w:r w:rsidRPr="00AA55C2">
                              <w:rPr>
                                <w:sz w:val="14"/>
                                <w:szCs w:val="14"/>
                              </w:rPr>
                              <w:t>ower)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30" style="position:absolute;left:0;text-align:left;margin-left:263.8pt;margin-top:3.25pt;width:220.6pt;height:14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" fillcolor="white [3201]" strokecolor="#4f81bd [3204]" strokeweight="2pt">
                <v:textbox>
                  <w:txbxContent>
                    <w:p w:rsidR="00FB1096" w:rsidRDefault="00FB1096" w:rsidP="00FB1096">
                      <w:pPr>
                        <w:jc w:val="center"/>
                      </w:pPr>
                      <w:r>
                        <w:t>The charts opposite and below show that whilst spending power has been falling dramatically, -28.5% in real terms</w:t>
                      </w:r>
                      <w:r w:rsidR="006F3D8D">
                        <w:t xml:space="preserve"> to 2017-18</w:t>
                      </w:r>
                      <w:r>
                        <w:t xml:space="preserve">, spending on adult </w:t>
                      </w:r>
                      <w:r w:rsidRPr="00FB1096">
                        <w:rPr>
                          <w:u w:val="single"/>
                        </w:rPr>
                        <w:t>and children</w:t>
                      </w:r>
                      <w:r w:rsidR="00930E22">
                        <w:rPr>
                          <w:u w:val="single"/>
                        </w:rPr>
                        <w:t>’</w:t>
                      </w:r>
                      <w:r w:rsidRPr="00FB1096">
                        <w:rPr>
                          <w:u w:val="single"/>
                        </w:rPr>
                        <w:t>s</w:t>
                      </w:r>
                      <w:r>
                        <w:t xml:space="preserve"> social care has been sustained in recognition of the high risk associated with these services</w:t>
                      </w:r>
                    </w:p>
                    <w:p w:rsidR="00FB1096" w:rsidRPr="00AA55C2" w:rsidRDefault="00FB1096" w:rsidP="00FB1096">
                      <w:pPr>
                        <w:jc w:val="center"/>
                        <w:rPr>
                          <w:sz w:val="14"/>
                          <w:szCs w:val="14"/>
                        </w:rPr>
                      </w:pPr>
                      <w:r w:rsidRPr="00AA55C2">
                        <w:rPr>
                          <w:sz w:val="14"/>
                          <w:szCs w:val="14"/>
                        </w:rPr>
                        <w:t xml:space="preserve">(Source ONS 2018 data visualisation, </w:t>
                      </w:r>
                      <w:r w:rsidR="006F3D8D">
                        <w:rPr>
                          <w:sz w:val="14"/>
                          <w:szCs w:val="14"/>
                        </w:rPr>
                        <w:t>R</w:t>
                      </w:r>
                      <w:r w:rsidRPr="00AA55C2">
                        <w:rPr>
                          <w:sz w:val="14"/>
                          <w:szCs w:val="14"/>
                        </w:rPr>
                        <w:t xml:space="preserve">evenue </w:t>
                      </w:r>
                      <w:r w:rsidR="006F3D8D">
                        <w:rPr>
                          <w:sz w:val="14"/>
                          <w:szCs w:val="14"/>
                        </w:rPr>
                        <w:t>Spending P</w:t>
                      </w:r>
                      <w:r w:rsidRPr="00AA55C2">
                        <w:rPr>
                          <w:sz w:val="14"/>
                          <w:szCs w:val="14"/>
                        </w:rPr>
                        <w:t>ower)</w:t>
                      </w:r>
                    </w:p>
                  </w:txbxContent>
                </v:textbox>
              </v:rect>
            </w:pict>
          </mc:Fallback>
        </mc:AlternateContent>
      </w:r>
      <w:r w:rsidR="00FB1096">
        <w:rPr>
          <w:noProof/>
          <w:lang w:eastAsia="en-GB"/>
        </w:rPr>
        <w:drawing>
          <wp:inline distT="0" distB="0" distL="0" distR="0" wp14:anchorId="738247F3" wp14:editId="680F31BB">
            <wp:extent cx="2611526" cy="19090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10348" cy="1908215"/>
                    </a:xfrm>
                    <a:prstGeom prst="rect">
                      <a:avLst/>
                    </a:prstGeom>
                  </pic:spPr>
                </pic:pic>
              </a:graphicData>
            </a:graphic>
          </wp:inline>
        </w:drawing>
      </w:r>
    </w:p>
    <w:p w:rsidR="00FB1096" w:rsidRDefault="00FB1096" w:rsidP="00FB1096">
      <w:pPr>
        <w:pStyle w:val="ListParagraph"/>
      </w:pPr>
    </w:p>
    <w:p w:rsidR="00FB1096" w:rsidRDefault="00BD6D52" w:rsidP="00FB1096">
      <w:pPr>
        <w:pStyle w:val="ListParagraph"/>
      </w:pPr>
      <w:r w:rsidRPr="00E530CE">
        <w:rPr>
          <w:sz w:val="20"/>
          <w:szCs w:val="20"/>
        </w:rPr>
        <w:t>f</w:t>
      </w:r>
      <w:r w:rsidR="00E530CE">
        <w:rPr>
          <w:sz w:val="20"/>
          <w:szCs w:val="20"/>
        </w:rPr>
        <w:t>oot</w:t>
      </w:r>
      <w:r w:rsidRPr="00E530CE">
        <w:rPr>
          <w:sz w:val="20"/>
          <w:szCs w:val="20"/>
        </w:rPr>
        <w:t>n</w:t>
      </w:r>
      <w:r w:rsidR="00E530CE" w:rsidRPr="00E530CE">
        <w:rPr>
          <w:sz w:val="20"/>
          <w:szCs w:val="20"/>
        </w:rPr>
        <w:t>ote</w:t>
      </w:r>
      <w:r>
        <w:rPr>
          <w:rStyle w:val="FootnoteReference"/>
        </w:rPr>
        <w:footnoteReference w:id="10"/>
      </w:r>
    </w:p>
    <w:p w:rsidR="00FB1096" w:rsidRDefault="00517555" w:rsidP="00FB1096">
      <w:pPr>
        <w:pStyle w:val="ListParagraph"/>
      </w:pPr>
      <w:r>
        <w:rPr>
          <w:noProof/>
          <w:lang w:eastAsia="en-GB"/>
        </w:rPr>
        <mc:AlternateContent>
          <mc:Choice Requires="wps">
            <w:drawing>
              <wp:anchor distT="0" distB="0" distL="114300" distR="114300" simplePos="0" relativeHeight="251680768" behindDoc="0" locked="0" layoutInCell="1" allowOverlap="1" wp14:anchorId="11A8A102" wp14:editId="0D358C44">
                <wp:simplePos x="0" y="0"/>
                <wp:positionH relativeFrom="column">
                  <wp:posOffset>2999232</wp:posOffset>
                </wp:positionH>
                <wp:positionV relativeFrom="paragraph">
                  <wp:posOffset>1849171</wp:posOffset>
                </wp:positionV>
                <wp:extent cx="1960474" cy="0"/>
                <wp:effectExtent l="0" t="76200" r="20955" b="114300"/>
                <wp:wrapNone/>
                <wp:docPr id="21" name="Straight Arrow Connector 21"/>
                <wp:cNvGraphicFramePr/>
                <a:graphic xmlns:a="http://schemas.openxmlformats.org/drawingml/2006/main">
                  <a:graphicData uri="http://schemas.microsoft.com/office/word/2010/wordprocessingShape">
                    <wps:wsp>
                      <wps:cNvCnPr/>
                      <wps:spPr>
                        <a:xfrm>
                          <a:off x="0" y="0"/>
                          <a:ext cx="1960474" cy="0"/>
                        </a:xfrm>
                        <a:prstGeom prst="straightConnector1">
                          <a:avLst/>
                        </a:prstGeom>
                        <a:noFill/>
                        <a:ln w="127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236.15pt;margin-top:145.6pt;width:154.3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" strokecolor="#4a7ebb" strokeweight="1pt">
                <v:stroke endarrow="open"/>
              </v:shape>
            </w:pict>
          </mc:Fallback>
        </mc:AlternateContent>
      </w:r>
      <w:r>
        <w:rPr>
          <w:noProof/>
          <w:lang w:eastAsia="en-GB"/>
        </w:rPr>
        <mc:AlternateContent>
          <mc:Choice Requires="wps">
            <w:drawing>
              <wp:anchor distT="0" distB="0" distL="114300" distR="114300" simplePos="0" relativeHeight="251678720" behindDoc="0" locked="0" layoutInCell="1" allowOverlap="1" wp14:anchorId="6696A804" wp14:editId="3CB89E95">
                <wp:simplePos x="0" y="0"/>
                <wp:positionH relativeFrom="column">
                  <wp:posOffset>2999105</wp:posOffset>
                </wp:positionH>
                <wp:positionV relativeFrom="paragraph">
                  <wp:posOffset>1356055</wp:posOffset>
                </wp:positionV>
                <wp:extent cx="746125" cy="6985"/>
                <wp:effectExtent l="0" t="76200" r="15875" b="107315"/>
                <wp:wrapNone/>
                <wp:docPr id="20" name="Straight Arrow Connector 20"/>
                <wp:cNvGraphicFramePr/>
                <a:graphic xmlns:a="http://schemas.openxmlformats.org/drawingml/2006/main">
                  <a:graphicData uri="http://schemas.microsoft.com/office/word/2010/wordprocessingShape">
                    <wps:wsp>
                      <wps:cNvCnPr/>
                      <wps:spPr>
                        <a:xfrm>
                          <a:off x="0" y="0"/>
                          <a:ext cx="746125" cy="698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 o:spid="_x0000_s1026" type="#_x0000_t32" style="position:absolute;margin-left:236.15pt;margin-top:106.8pt;width:58.75pt;height:.5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" strokecolor="#4579b8 [3044]" strokeweight="1pt">
                <v:stroke endarrow="open"/>
              </v:shape>
            </w:pict>
          </mc:Fallback>
        </mc:AlternateContent>
      </w:r>
      <w:r w:rsidR="00AA55C2">
        <w:rPr>
          <w:noProof/>
          <w:lang w:eastAsia="en-GB"/>
        </w:rPr>
        <mc:AlternateContent>
          <mc:Choice Requires="wps">
            <w:drawing>
              <wp:anchor distT="0" distB="0" distL="114300" distR="114300" simplePos="0" relativeHeight="251664384" behindDoc="0" locked="0" layoutInCell="1" allowOverlap="1" wp14:anchorId="14BA96B4" wp14:editId="55343ECC">
                <wp:simplePos x="0" y="0"/>
                <wp:positionH relativeFrom="column">
                  <wp:posOffset>4732655</wp:posOffset>
                </wp:positionH>
                <wp:positionV relativeFrom="paragraph">
                  <wp:posOffset>1425575</wp:posOffset>
                </wp:positionV>
                <wp:extent cx="438785" cy="189865"/>
                <wp:effectExtent l="0" t="0" r="18415" b="19685"/>
                <wp:wrapNone/>
                <wp:docPr id="11" name="Rectangle 11"/>
                <wp:cNvGraphicFramePr/>
                <a:graphic xmlns:a="http://schemas.openxmlformats.org/drawingml/2006/main">
                  <a:graphicData uri="http://schemas.microsoft.com/office/word/2010/wordprocessingShape">
                    <wps:wsp>
                      <wps:cNvSpPr/>
                      <wps:spPr>
                        <a:xfrm>
                          <a:off x="0" y="0"/>
                          <a:ext cx="438785" cy="189865"/>
                        </a:xfrm>
                        <a:prstGeom prst="rect">
                          <a:avLst/>
                        </a:prstGeom>
                        <a:noFill/>
                        <a:ln w="25400" cap="flat" cmpd="sng" algn="ctr">
                          <a:solidFill>
                            <a:srgbClr val="A143CB"/>
                          </a:solidFill>
                          <a:prstDash val="solid"/>
                        </a:ln>
                        <a:effectLst/>
                      </wps:spPr>
                      <wps:txbx>
                        <w:txbxContent>
                          <w:p w:rsidR="00AA55C2" w:rsidRPr="00AA55C2" w:rsidRDefault="00AA55C2" w:rsidP="00AA55C2">
                            <w:pPr>
                              <w:rPr>
                                <w:sz w:val="12"/>
                                <w:szCs w:val="12"/>
                              </w:rPr>
                            </w:pPr>
                            <w:r>
                              <w:rPr>
                                <w:sz w:val="12"/>
                                <w:szCs w:val="12"/>
                              </w:rPr>
                              <w:t>Adults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1" style="position:absolute;left:0;text-align:left;margin-left:372.65pt;margin-top:112.25pt;width:34.55pt;height:1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" filled="f" strokecolor="#a143cb" strokeweight="2pt">
                <v:textbox>
                  <w:txbxContent>
                    <w:p w:rsidR="00AA55C2" w:rsidRPr="00AA55C2" w:rsidRDefault="00AA55C2" w:rsidP="00AA55C2">
                      <w:pPr>
                        <w:rPr>
                          <w:sz w:val="12"/>
                          <w:szCs w:val="12"/>
                        </w:rPr>
                      </w:pPr>
                      <w:r>
                        <w:rPr>
                          <w:sz w:val="12"/>
                          <w:szCs w:val="12"/>
                        </w:rPr>
                        <w:t>Adults</w:t>
                      </w:r>
                    </w:p>
                  </w:txbxContent>
                </v:textbox>
              </v:rect>
            </w:pict>
          </mc:Fallback>
        </mc:AlternateContent>
      </w:r>
      <w:r w:rsidR="00AA55C2">
        <w:rPr>
          <w:noProof/>
          <w:lang w:eastAsia="en-GB"/>
        </w:rPr>
        <mc:AlternateContent>
          <mc:Choice Requires="wps">
            <w:drawing>
              <wp:anchor distT="0" distB="0" distL="114300" distR="114300" simplePos="0" relativeHeight="251662336" behindDoc="0" locked="0" layoutInCell="1" allowOverlap="1" wp14:anchorId="5059F5EB" wp14:editId="263C2219">
                <wp:simplePos x="0" y="0"/>
                <wp:positionH relativeFrom="column">
                  <wp:posOffset>4433012</wp:posOffset>
                </wp:positionH>
                <wp:positionV relativeFrom="paragraph">
                  <wp:posOffset>365252</wp:posOffset>
                </wp:positionV>
                <wp:extent cx="619582" cy="189865"/>
                <wp:effectExtent l="0" t="0" r="28575" b="19685"/>
                <wp:wrapNone/>
                <wp:docPr id="9" name="Rectangle 9"/>
                <wp:cNvGraphicFramePr/>
                <a:graphic xmlns:a="http://schemas.openxmlformats.org/drawingml/2006/main">
                  <a:graphicData uri="http://schemas.microsoft.com/office/word/2010/wordprocessingShape">
                    <wps:wsp>
                      <wps:cNvSpPr/>
                      <wps:spPr>
                        <a:xfrm>
                          <a:off x="0" y="0"/>
                          <a:ext cx="619582" cy="189865"/>
                        </a:xfrm>
                        <a:prstGeom prst="rect">
                          <a:avLst/>
                        </a:prstGeom>
                        <a:noFill/>
                        <a:ln>
                          <a:solidFill>
                            <a:srgbClr val="B14154"/>
                          </a:solidFill>
                        </a:ln>
                      </wps:spPr>
                      <wps:style>
                        <a:lnRef idx="2">
                          <a:schemeClr val="accent2"/>
                        </a:lnRef>
                        <a:fillRef idx="1">
                          <a:schemeClr val="lt1"/>
                        </a:fillRef>
                        <a:effectRef idx="0">
                          <a:schemeClr val="accent2"/>
                        </a:effectRef>
                        <a:fontRef idx="minor">
                          <a:schemeClr val="dk1"/>
                        </a:fontRef>
                      </wps:style>
                      <wps:txbx>
                        <w:txbxContent>
                          <w:p w:rsidR="00AA55C2" w:rsidRPr="00AA55C2" w:rsidRDefault="00AA55C2" w:rsidP="00AA55C2">
                            <w:pPr>
                              <w:jc w:val="center"/>
                              <w:rPr>
                                <w:sz w:val="12"/>
                                <w:szCs w:val="12"/>
                              </w:rPr>
                            </w:pPr>
                            <w:r w:rsidRPr="00AA55C2">
                              <w:rPr>
                                <w:sz w:val="12"/>
                                <w:szCs w:val="12"/>
                              </w:rPr>
                              <w:t>Children</w:t>
                            </w:r>
                            <w:r>
                              <w:rPr>
                                <w:sz w:val="12"/>
                                <w:szCs w:val="12"/>
                              </w:rPr>
                              <w:t>’</w:t>
                            </w:r>
                            <w:r w:rsidRPr="00AA55C2">
                              <w:rPr>
                                <w:sz w:val="12"/>
                                <w:szCs w:val="12"/>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2" style="position:absolute;left:0;text-align:left;margin-left:349.05pt;margin-top:28.75pt;width:48.8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" filled="f" strokecolor="#b14154" strokeweight="2pt">
                <v:textbox>
                  <w:txbxContent>
                    <w:p w:rsidR="00AA55C2" w:rsidRPr="00AA55C2" w:rsidRDefault="00AA55C2" w:rsidP="00AA55C2">
                      <w:pPr>
                        <w:jc w:val="center"/>
                        <w:rPr>
                          <w:sz w:val="12"/>
                          <w:szCs w:val="12"/>
                        </w:rPr>
                      </w:pPr>
                      <w:r w:rsidRPr="00AA55C2">
                        <w:rPr>
                          <w:sz w:val="12"/>
                          <w:szCs w:val="12"/>
                        </w:rPr>
                        <w:t>Children</w:t>
                      </w:r>
                      <w:r>
                        <w:rPr>
                          <w:sz w:val="12"/>
                          <w:szCs w:val="12"/>
                        </w:rPr>
                        <w:t>’</w:t>
                      </w:r>
                      <w:r w:rsidRPr="00AA55C2">
                        <w:rPr>
                          <w:sz w:val="12"/>
                          <w:szCs w:val="12"/>
                        </w:rPr>
                        <w:t>s</w:t>
                      </w:r>
                    </w:p>
                  </w:txbxContent>
                </v:textbox>
              </v:rect>
            </w:pict>
          </mc:Fallback>
        </mc:AlternateContent>
      </w:r>
      <w:r w:rsidR="00FB1096">
        <w:rPr>
          <w:noProof/>
          <w:lang w:eastAsia="en-GB"/>
        </w:rPr>
        <w:drawing>
          <wp:inline distT="0" distB="0" distL="0" distR="0" wp14:anchorId="14BF57B8" wp14:editId="0B94F208">
            <wp:extent cx="5074412" cy="2165299"/>
            <wp:effectExtent l="19050" t="19050" r="12065" b="260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88096" cy="2171138"/>
                    </a:xfrm>
                    <a:prstGeom prst="rect">
                      <a:avLst/>
                    </a:prstGeom>
                    <a:ln>
                      <a:solidFill>
                        <a:schemeClr val="accent2">
                          <a:lumMod val="75000"/>
                          <a:alpha val="0"/>
                        </a:schemeClr>
                      </a:solidFill>
                    </a:ln>
                  </pic:spPr>
                </pic:pic>
              </a:graphicData>
            </a:graphic>
          </wp:inline>
        </w:drawing>
      </w:r>
    </w:p>
    <w:p w:rsidR="00D56718" w:rsidRDefault="00D56718" w:rsidP="00D56718">
      <w:pPr>
        <w:pStyle w:val="ListParagraph"/>
      </w:pPr>
    </w:p>
    <w:p w:rsidR="00D56718" w:rsidRDefault="0099737E" w:rsidP="00D56718">
      <w:pPr>
        <w:pStyle w:val="ListParagraph"/>
        <w:numPr>
          <w:ilvl w:val="1"/>
          <w:numId w:val="3"/>
        </w:numPr>
        <w:tabs>
          <w:tab w:val="left" w:pos="426"/>
        </w:tabs>
        <w:spacing w:line="240" w:lineRule="auto"/>
        <w:ind w:left="426" w:hanging="426"/>
      </w:pPr>
      <w:r>
        <w:t>The</w:t>
      </w:r>
      <w:r w:rsidR="00310322">
        <w:t>refore the</w:t>
      </w:r>
      <w:r>
        <w:t xml:space="preserve"> additional funding, whilst </w:t>
      </w:r>
      <w:r w:rsidR="006F3D8D">
        <w:t xml:space="preserve">welcome is not adequate to sustain </w:t>
      </w:r>
      <w:r>
        <w:t>both services and should be increased</w:t>
      </w:r>
    </w:p>
    <w:p w:rsidR="000D4B46" w:rsidRDefault="000D4B46" w:rsidP="000D4B46">
      <w:pPr>
        <w:pStyle w:val="ListParagraph"/>
        <w:tabs>
          <w:tab w:val="left" w:pos="426"/>
        </w:tabs>
        <w:spacing w:line="240" w:lineRule="auto"/>
        <w:ind w:left="426"/>
      </w:pPr>
    </w:p>
    <w:p w:rsidR="000D4B46" w:rsidRDefault="000D4B46" w:rsidP="00D56718">
      <w:pPr>
        <w:pStyle w:val="ListParagraph"/>
        <w:numPr>
          <w:ilvl w:val="1"/>
          <w:numId w:val="3"/>
        </w:numPr>
        <w:tabs>
          <w:tab w:val="left" w:pos="426"/>
        </w:tabs>
        <w:spacing w:line="240" w:lineRule="auto"/>
        <w:ind w:left="426" w:hanging="426"/>
      </w:pPr>
      <w:r>
        <w:t>The above spend profiles are of course averages. Within those averages the poorest councils have had to make the harshest cuts. So for example on a comparable basis Barnsley reduced its expenditure on Children’s social care by 16.7% and on Adults by 18.6% whilst Surrey County Council increased its expenditure on Children’s social care by 13.2% and on adults increased it by 21.3% over the same period.</w:t>
      </w:r>
    </w:p>
    <w:p w:rsidR="003E3696" w:rsidRDefault="003E3696" w:rsidP="003E3696">
      <w:pPr>
        <w:pStyle w:val="ListParagraph"/>
      </w:pPr>
    </w:p>
    <w:p w:rsidR="003E3696" w:rsidRDefault="003E3696" w:rsidP="003E3696">
      <w:pPr>
        <w:pStyle w:val="ListParagraph"/>
        <w:tabs>
          <w:tab w:val="left" w:pos="426"/>
        </w:tabs>
        <w:spacing w:line="240" w:lineRule="auto"/>
        <w:ind w:left="426"/>
      </w:pPr>
      <w:r>
        <w:rPr>
          <w:noProof/>
          <w:lang w:eastAsia="en-GB"/>
        </w:rPr>
        <mc:AlternateContent>
          <mc:Choice Requires="wps">
            <w:drawing>
              <wp:anchor distT="0" distB="0" distL="114300" distR="114300" simplePos="0" relativeHeight="251682816" behindDoc="0" locked="0" layoutInCell="1" allowOverlap="1" wp14:anchorId="0C5B7DC3" wp14:editId="2CF46880">
                <wp:simplePos x="0" y="0"/>
                <wp:positionH relativeFrom="column">
                  <wp:posOffset>1002181</wp:posOffset>
                </wp:positionH>
                <wp:positionV relativeFrom="paragraph">
                  <wp:posOffset>430251</wp:posOffset>
                </wp:positionV>
                <wp:extent cx="453543" cy="197485"/>
                <wp:effectExtent l="0" t="0" r="22860" b="12065"/>
                <wp:wrapNone/>
                <wp:docPr id="25" name="Rectangle 25"/>
                <wp:cNvGraphicFramePr/>
                <a:graphic xmlns:a="http://schemas.openxmlformats.org/drawingml/2006/main">
                  <a:graphicData uri="http://schemas.microsoft.com/office/word/2010/wordprocessingShape">
                    <wps:wsp>
                      <wps:cNvSpPr/>
                      <wps:spPr>
                        <a:xfrm>
                          <a:off x="0" y="0"/>
                          <a:ext cx="453543" cy="197485"/>
                        </a:xfrm>
                        <a:prstGeom prst="rect">
                          <a:avLst/>
                        </a:prstGeom>
                        <a:noFill/>
                        <a:ln w="25400" cap="flat" cmpd="sng" algn="ctr">
                          <a:solidFill>
                            <a:srgbClr val="A143CB"/>
                          </a:solidFill>
                          <a:prstDash val="solid"/>
                        </a:ln>
                        <a:effectLst/>
                      </wps:spPr>
                      <wps:txbx>
                        <w:txbxContent>
                          <w:p w:rsidR="003E3696" w:rsidRPr="00AA55C2" w:rsidRDefault="003E3696" w:rsidP="003E3696">
                            <w:pPr>
                              <w:rPr>
                                <w:sz w:val="12"/>
                                <w:szCs w:val="12"/>
                              </w:rPr>
                            </w:pPr>
                            <w:r>
                              <w:rPr>
                                <w:sz w:val="12"/>
                                <w:szCs w:val="12"/>
                              </w:rPr>
                              <w:t>Adults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3" style="position:absolute;left:0;text-align:left;margin-left:78.9pt;margin-top:33.9pt;width:35.7pt;height:15.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" filled="f" strokecolor="#a143cb" strokeweight="2pt">
                <v:textbox>
                  <w:txbxContent>
                    <w:p w:rsidR="003E3696" w:rsidRPr="00AA55C2" w:rsidRDefault="003E3696" w:rsidP="003E3696">
                      <w:pPr>
                        <w:rPr>
                          <w:sz w:val="12"/>
                          <w:szCs w:val="12"/>
                        </w:rPr>
                      </w:pPr>
                      <w:r>
                        <w:rPr>
                          <w:sz w:val="12"/>
                          <w:szCs w:val="12"/>
                        </w:rPr>
                        <w:t>Adults</w:t>
                      </w:r>
                    </w:p>
                  </w:txbxContent>
                </v:textbox>
              </v:rect>
            </w:pict>
          </mc:Fallback>
        </mc:AlternateContent>
      </w:r>
      <w:r w:rsidRPr="003E3696">
        <w:rPr>
          <w:noProof/>
          <w:lang w:eastAsia="en-GB"/>
        </w:rPr>
        <mc:AlternateContent>
          <mc:Choice Requires="wps">
            <w:drawing>
              <wp:anchor distT="0" distB="0" distL="114300" distR="114300" simplePos="0" relativeHeight="251684864" behindDoc="0" locked="0" layoutInCell="1" allowOverlap="1" wp14:anchorId="47D934B8" wp14:editId="72C861C3">
                <wp:simplePos x="0" y="0"/>
                <wp:positionH relativeFrom="column">
                  <wp:posOffset>3370732</wp:posOffset>
                </wp:positionH>
                <wp:positionV relativeFrom="paragraph">
                  <wp:posOffset>493649</wp:posOffset>
                </wp:positionV>
                <wp:extent cx="438785" cy="189865"/>
                <wp:effectExtent l="0" t="0" r="18415" b="19685"/>
                <wp:wrapNone/>
                <wp:docPr id="29" name="Rectangle 29"/>
                <wp:cNvGraphicFramePr/>
                <a:graphic xmlns:a="http://schemas.openxmlformats.org/drawingml/2006/main">
                  <a:graphicData uri="http://schemas.microsoft.com/office/word/2010/wordprocessingShape">
                    <wps:wsp>
                      <wps:cNvSpPr/>
                      <wps:spPr>
                        <a:xfrm>
                          <a:off x="0" y="0"/>
                          <a:ext cx="438785" cy="189865"/>
                        </a:xfrm>
                        <a:prstGeom prst="rect">
                          <a:avLst/>
                        </a:prstGeom>
                        <a:noFill/>
                        <a:ln w="25400" cap="flat" cmpd="sng" algn="ctr">
                          <a:solidFill>
                            <a:srgbClr val="A143CB"/>
                          </a:solidFill>
                          <a:prstDash val="solid"/>
                        </a:ln>
                        <a:effectLst/>
                      </wps:spPr>
                      <wps:txbx>
                        <w:txbxContent>
                          <w:p w:rsidR="003E3696" w:rsidRPr="00AA55C2" w:rsidRDefault="003E3696" w:rsidP="003E3696">
                            <w:pPr>
                              <w:rPr>
                                <w:sz w:val="12"/>
                                <w:szCs w:val="12"/>
                              </w:rPr>
                            </w:pPr>
                            <w:r>
                              <w:rPr>
                                <w:sz w:val="12"/>
                                <w:szCs w:val="12"/>
                              </w:rPr>
                              <w:t>Adults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4" style="position:absolute;left:0;text-align:left;margin-left:265.4pt;margin-top:38.85pt;width:34.55pt;height:1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" filled="f" strokecolor="#a143cb" strokeweight="2pt">
                <v:textbox>
                  <w:txbxContent>
                    <w:p w:rsidR="003E3696" w:rsidRPr="00AA55C2" w:rsidRDefault="003E3696" w:rsidP="003E3696">
                      <w:pPr>
                        <w:rPr>
                          <w:sz w:val="12"/>
                          <w:szCs w:val="12"/>
                        </w:rPr>
                      </w:pPr>
                      <w:r>
                        <w:rPr>
                          <w:sz w:val="12"/>
                          <w:szCs w:val="12"/>
                        </w:rPr>
                        <w:t>Adults</w:t>
                      </w:r>
                    </w:p>
                  </w:txbxContent>
                </v:textbox>
              </v:rect>
            </w:pict>
          </mc:Fallback>
        </mc:AlternateContent>
      </w:r>
      <w:r>
        <w:rPr>
          <w:noProof/>
          <w:lang w:eastAsia="en-GB"/>
        </w:rPr>
        <w:drawing>
          <wp:inline distT="0" distB="0" distL="0" distR="0" wp14:anchorId="079D786C" wp14:editId="3F2177B7">
            <wp:extent cx="2143082" cy="181416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43322" cy="1814372"/>
                    </a:xfrm>
                    <a:prstGeom prst="rect">
                      <a:avLst/>
                    </a:prstGeom>
                  </pic:spPr>
                </pic:pic>
              </a:graphicData>
            </a:graphic>
          </wp:inline>
        </w:drawing>
      </w:r>
      <w:r>
        <w:rPr>
          <w:noProof/>
          <w:lang w:eastAsia="en-GB"/>
        </w:rPr>
        <w:drawing>
          <wp:inline distT="0" distB="0" distL="0" distR="0" wp14:anchorId="37B58657" wp14:editId="49EF968A">
            <wp:extent cx="2102833" cy="17995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108507" cy="1804395"/>
                    </a:xfrm>
                    <a:prstGeom prst="rect">
                      <a:avLst/>
                    </a:prstGeom>
                  </pic:spPr>
                </pic:pic>
              </a:graphicData>
            </a:graphic>
          </wp:inline>
        </w:drawing>
      </w:r>
    </w:p>
    <w:p w:rsidR="00D56718" w:rsidRPr="003E3696" w:rsidRDefault="00185288" w:rsidP="00D56718">
      <w:pPr>
        <w:pStyle w:val="ListParagraph"/>
        <w:rPr>
          <w:sz w:val="16"/>
          <w:szCs w:val="16"/>
        </w:rPr>
      </w:pPr>
      <w:hyperlink r:id="rId17" w:history="1">
        <w:r w:rsidR="003E3696" w:rsidRPr="003E3696">
          <w:rPr>
            <w:rStyle w:val="Hyperlink"/>
            <w:sz w:val="16"/>
            <w:szCs w:val="16"/>
          </w:rPr>
          <w:t>https://www.nao.org.uk/other/financial-sustainability-of-local-authorities-2018-visualisation/</w:t>
        </w:r>
      </w:hyperlink>
    </w:p>
    <w:p w:rsidR="003E3696" w:rsidRPr="003E3696" w:rsidRDefault="003E3696" w:rsidP="00D56718">
      <w:pPr>
        <w:pStyle w:val="ListParagraph"/>
        <w:rPr>
          <w:sz w:val="18"/>
          <w:szCs w:val="18"/>
        </w:rPr>
      </w:pPr>
    </w:p>
    <w:p w:rsidR="00BB50D3" w:rsidRPr="00D70945" w:rsidRDefault="0099737E" w:rsidP="00D70945">
      <w:pPr>
        <w:pStyle w:val="ListParagraph"/>
        <w:numPr>
          <w:ilvl w:val="1"/>
          <w:numId w:val="3"/>
        </w:numPr>
        <w:tabs>
          <w:tab w:val="left" w:pos="426"/>
        </w:tabs>
        <w:spacing w:line="240" w:lineRule="auto"/>
        <w:ind w:left="426"/>
      </w:pPr>
      <w:r>
        <w:t>The</w:t>
      </w:r>
      <w:r w:rsidR="006F3D8D">
        <w:t xml:space="preserve"> method </w:t>
      </w:r>
      <w:r w:rsidR="00BB50D3">
        <w:t xml:space="preserve">used for allocating </w:t>
      </w:r>
      <w:r w:rsidR="00315D98">
        <w:t xml:space="preserve">the additional £1 billion </w:t>
      </w:r>
      <w:r w:rsidR="008C7DE5">
        <w:t xml:space="preserve">social care </w:t>
      </w:r>
      <w:r w:rsidR="00315D98">
        <w:t xml:space="preserve">grant does not follow the </w:t>
      </w:r>
      <w:r w:rsidR="008C7DE5">
        <w:t xml:space="preserve">precedent set in previous </w:t>
      </w:r>
      <w:r w:rsidR="00315D98">
        <w:t xml:space="preserve">allocations which was that </w:t>
      </w:r>
      <w:r w:rsidR="00D70945">
        <w:t xml:space="preserve">10% of the additional money </w:t>
      </w:r>
      <w:r w:rsidR="00D70945">
        <w:lastRenderedPageBreak/>
        <w:t>would be allocated according to 2013 adult social care formula with the remaining being allocated as a combination of grant and social care precept of that year</w:t>
      </w:r>
      <w:r w:rsidR="00CA1B4F">
        <w:t>,</w:t>
      </w:r>
      <w:r w:rsidR="00D70945">
        <w:t xml:space="preserve"> after which the precept is deducted. No explanation has been provided for this change. We recommend that the published process for supplementary funding should be followed </w:t>
      </w:r>
      <w:r w:rsidR="000D4B46">
        <w:t xml:space="preserve">in order that councils who have been unable to raise sufficient  funding through council tax have this recognised </w:t>
      </w:r>
      <w:hyperlink r:id="rId18" w:history="1">
        <w:r w:rsidR="00D70945" w:rsidRPr="00542FD3">
          <w:rPr>
            <w:rStyle w:val="Hyperlink"/>
            <w:sz w:val="16"/>
            <w:szCs w:val="16"/>
          </w:rPr>
          <w:t>https://assets.publishing.service.gov.uk/government/uploads/system/uploads/attachment_data/file/598252/EN_FINAL.pdf</w:t>
        </w:r>
      </w:hyperlink>
    </w:p>
    <w:p w:rsidR="00BB50D3" w:rsidRDefault="00BB50D3" w:rsidP="00CA1B4F"/>
    <w:p w:rsidR="00F66B72" w:rsidRDefault="0099737E" w:rsidP="00D56718">
      <w:pPr>
        <w:pStyle w:val="ListParagraph"/>
        <w:numPr>
          <w:ilvl w:val="1"/>
          <w:numId w:val="3"/>
        </w:numPr>
        <w:tabs>
          <w:tab w:val="left" w:pos="426"/>
        </w:tabs>
        <w:spacing w:line="240" w:lineRule="auto"/>
        <w:ind w:left="426" w:hanging="426"/>
      </w:pPr>
      <w:r>
        <w:t xml:space="preserve"> </w:t>
      </w:r>
      <w:r w:rsidR="00983336">
        <w:t>The impact of the chosen</w:t>
      </w:r>
      <w:r w:rsidR="0042081F">
        <w:t xml:space="preserve"> distribution</w:t>
      </w:r>
      <w:r w:rsidR="00983336">
        <w:t xml:space="preserve"> method</w:t>
      </w:r>
      <w:r w:rsidR="0042081F">
        <w:t xml:space="preserve"> </w:t>
      </w:r>
      <w:r w:rsidR="008C7DE5">
        <w:t>at c</w:t>
      </w:r>
      <w:r w:rsidR="0042081F">
        <w:t xml:space="preserve">ouncil </w:t>
      </w:r>
      <w:r w:rsidR="008C7DE5">
        <w:t>l</w:t>
      </w:r>
      <w:r w:rsidR="0042081F">
        <w:t>evel can be seen in the following table which compares the percentage growth in social care funding from Social Care Precept and Social Care Grants at authority level.</w:t>
      </w:r>
    </w:p>
    <w:p w:rsidR="0042081F" w:rsidRDefault="0042081F" w:rsidP="0042081F">
      <w:pPr>
        <w:pStyle w:val="ListParagraph"/>
      </w:pPr>
    </w:p>
    <w:p w:rsidR="0042081F" w:rsidRDefault="008C7DE5" w:rsidP="00D56718">
      <w:pPr>
        <w:pStyle w:val="ListParagraph"/>
        <w:numPr>
          <w:ilvl w:val="1"/>
          <w:numId w:val="3"/>
        </w:numPr>
        <w:tabs>
          <w:tab w:val="left" w:pos="426"/>
        </w:tabs>
        <w:spacing w:line="240" w:lineRule="auto"/>
        <w:ind w:left="426" w:hanging="426"/>
      </w:pPr>
      <w:r>
        <w:t>In the absence of a new needs formula</w:t>
      </w:r>
      <w:proofErr w:type="gramStart"/>
      <w:r>
        <w:t xml:space="preserve">, </w:t>
      </w:r>
      <w:r w:rsidR="0042081F">
        <w:t xml:space="preserve"> one</w:t>
      </w:r>
      <w:proofErr w:type="gramEnd"/>
      <w:r w:rsidR="0042081F">
        <w:t xml:space="preserve"> would expect the percentage growth in a fair distribution to be about the same</w:t>
      </w:r>
      <w:r>
        <w:t xml:space="preserve"> for all councils. T</w:t>
      </w:r>
      <w:r w:rsidR="0042081F">
        <w:t>here is in fact a 10% variation between the highest and the lowest growth percentages:</w:t>
      </w:r>
    </w:p>
    <w:p w:rsidR="0042081F" w:rsidRDefault="0042081F" w:rsidP="0042081F">
      <w:pPr>
        <w:pStyle w:val="ListParagraph"/>
      </w:pPr>
    </w:p>
    <w:p w:rsidR="0042081F" w:rsidRPr="0042081F" w:rsidRDefault="0042081F" w:rsidP="0042081F">
      <w:pPr>
        <w:pStyle w:val="ListParagraph"/>
        <w:tabs>
          <w:tab w:val="left" w:pos="426"/>
        </w:tabs>
        <w:spacing w:line="240" w:lineRule="auto"/>
        <w:ind w:left="426"/>
        <w:rPr>
          <w:b/>
          <w:color w:val="548DD4" w:themeColor="text2" w:themeTint="99"/>
          <w:u w:val="single"/>
        </w:rPr>
      </w:pPr>
      <w:r w:rsidRPr="0042081F">
        <w:rPr>
          <w:b/>
          <w:color w:val="548DD4" w:themeColor="text2" w:themeTint="99"/>
          <w:u w:val="single"/>
        </w:rPr>
        <w:t>Increase in Social Care Funding 2020-21 Highest and Lowest Percentage Growth</w:t>
      </w:r>
    </w:p>
    <w:p w:rsidR="0042081F" w:rsidRDefault="0042081F" w:rsidP="0042081F">
      <w:pPr>
        <w:pStyle w:val="ListParagraph"/>
        <w:tabs>
          <w:tab w:val="left" w:pos="426"/>
        </w:tabs>
        <w:spacing w:line="240" w:lineRule="auto"/>
        <w:ind w:left="426"/>
      </w:pPr>
      <w:r w:rsidRPr="0042081F">
        <w:rPr>
          <w:noProof/>
          <w:lang w:eastAsia="en-GB"/>
        </w:rPr>
        <w:drawing>
          <wp:inline distT="0" distB="0" distL="0" distR="0" wp14:anchorId="0C40C63C" wp14:editId="2C01B321">
            <wp:extent cx="4535424" cy="3040766"/>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38021" cy="3042507"/>
                    </a:xfrm>
                    <a:prstGeom prst="rect">
                      <a:avLst/>
                    </a:prstGeom>
                    <a:noFill/>
                    <a:ln>
                      <a:noFill/>
                    </a:ln>
                  </pic:spPr>
                </pic:pic>
              </a:graphicData>
            </a:graphic>
          </wp:inline>
        </w:drawing>
      </w:r>
    </w:p>
    <w:p w:rsidR="00F66B72" w:rsidRDefault="00F66B72" w:rsidP="00F66B72">
      <w:pPr>
        <w:pStyle w:val="ListParagraph"/>
      </w:pPr>
    </w:p>
    <w:p w:rsidR="0042081F" w:rsidRDefault="0042081F" w:rsidP="00D56718">
      <w:pPr>
        <w:pStyle w:val="ListParagraph"/>
        <w:numPr>
          <w:ilvl w:val="1"/>
          <w:numId w:val="3"/>
        </w:numPr>
        <w:tabs>
          <w:tab w:val="left" w:pos="426"/>
        </w:tabs>
        <w:spacing w:line="240" w:lineRule="auto"/>
        <w:ind w:left="426" w:hanging="426"/>
      </w:pPr>
      <w:r>
        <w:t xml:space="preserve">Even ignoring possible outliers in the above tables, there is a clear </w:t>
      </w:r>
      <w:r w:rsidR="000B11B6">
        <w:t xml:space="preserve">dividing line between more and less prosperous councils at the extremes. </w:t>
      </w:r>
      <w:r w:rsidR="000B11B6" w:rsidRPr="000B11B6">
        <w:rPr>
          <w:b/>
        </w:rPr>
        <w:t>The allocation basis needs to change to address this disparity.</w:t>
      </w:r>
    </w:p>
    <w:p w:rsidR="0042081F" w:rsidRDefault="0042081F" w:rsidP="0042081F">
      <w:pPr>
        <w:tabs>
          <w:tab w:val="left" w:pos="426"/>
        </w:tabs>
        <w:spacing w:line="240" w:lineRule="auto"/>
      </w:pPr>
    </w:p>
    <w:p w:rsidR="00D56718" w:rsidRDefault="00D70945" w:rsidP="00D56718">
      <w:pPr>
        <w:pStyle w:val="ListParagraph"/>
        <w:numPr>
          <w:ilvl w:val="1"/>
          <w:numId w:val="3"/>
        </w:numPr>
        <w:tabs>
          <w:tab w:val="left" w:pos="426"/>
        </w:tabs>
        <w:spacing w:line="240" w:lineRule="auto"/>
        <w:ind w:left="426" w:hanging="426"/>
      </w:pPr>
      <w:r>
        <w:t xml:space="preserve"> </w:t>
      </w:r>
      <w:r w:rsidR="0042081F">
        <w:t xml:space="preserve">Most of </w:t>
      </w:r>
      <w:r>
        <w:t xml:space="preserve">our members feel </w:t>
      </w:r>
      <w:r w:rsidR="000D4B46">
        <w:t xml:space="preserve">however </w:t>
      </w:r>
      <w:r>
        <w:t xml:space="preserve">the existing </w:t>
      </w:r>
      <w:r w:rsidR="0099737E">
        <w:t xml:space="preserve">distribution method </w:t>
      </w:r>
      <w:r w:rsidR="00686400">
        <w:t>of the grant is flawed</w:t>
      </w:r>
      <w:r w:rsidR="003E66C5">
        <w:t xml:space="preserve"> in</w:t>
      </w:r>
      <w:r>
        <w:t xml:space="preserve"> any event in</w:t>
      </w:r>
      <w:r w:rsidR="003E66C5">
        <w:t xml:space="preserve"> that i</w:t>
      </w:r>
      <w:r w:rsidR="00686400">
        <w:t xml:space="preserve">t does not fully recognise </w:t>
      </w:r>
      <w:r>
        <w:t xml:space="preserve">the </w:t>
      </w:r>
      <w:r w:rsidR="00CA1B4F">
        <w:t>burden of C</w:t>
      </w:r>
      <w:r w:rsidR="00686400">
        <w:t xml:space="preserve">ouncil </w:t>
      </w:r>
      <w:r w:rsidR="00CA1B4F">
        <w:t>T</w:t>
      </w:r>
      <w:r w:rsidR="00686400">
        <w:t>ax t</w:t>
      </w:r>
      <w:r w:rsidR="003E66C5">
        <w:t>h</w:t>
      </w:r>
      <w:r w:rsidR="000D4B46">
        <w:t xml:space="preserve">at some tax </w:t>
      </w:r>
      <w:r w:rsidR="0073782B">
        <w:t>payers are</w:t>
      </w:r>
      <w:r w:rsidR="00686400">
        <w:t xml:space="preserve"> carrying by comparison to others</w:t>
      </w:r>
      <w:r w:rsidR="00D97B4B">
        <w:t>.</w:t>
      </w:r>
    </w:p>
    <w:p w:rsidR="00D97B4B" w:rsidRDefault="00D97B4B" w:rsidP="00D97B4B">
      <w:pPr>
        <w:pStyle w:val="ListParagraph"/>
      </w:pPr>
    </w:p>
    <w:p w:rsidR="00D97B4B" w:rsidRDefault="00D97B4B" w:rsidP="00F57F9B">
      <w:pPr>
        <w:pStyle w:val="ListParagraph"/>
        <w:numPr>
          <w:ilvl w:val="1"/>
          <w:numId w:val="3"/>
        </w:numPr>
        <w:spacing w:line="240" w:lineRule="auto"/>
        <w:ind w:left="709" w:hanging="709"/>
      </w:pPr>
      <w:r>
        <w:t xml:space="preserve">The equalising adjustment compensates authorities for their varying ability to raise tax but it also compensates them for their local choices of band D tax </w:t>
      </w:r>
      <w:r w:rsidR="00D70945">
        <w:t>levels</w:t>
      </w:r>
      <w:r>
        <w:t>.</w:t>
      </w:r>
    </w:p>
    <w:p w:rsidR="00D56718" w:rsidRDefault="00D56718" w:rsidP="00D56718">
      <w:pPr>
        <w:pStyle w:val="ListParagraph"/>
      </w:pPr>
    </w:p>
    <w:p w:rsidR="00D56718" w:rsidRDefault="003E66C5" w:rsidP="00F57F9B">
      <w:pPr>
        <w:pStyle w:val="ListParagraph"/>
        <w:numPr>
          <w:ilvl w:val="1"/>
          <w:numId w:val="3"/>
        </w:numPr>
        <w:tabs>
          <w:tab w:val="left" w:pos="709"/>
        </w:tabs>
        <w:spacing w:line="240" w:lineRule="auto"/>
        <w:ind w:left="709" w:hanging="709"/>
      </w:pPr>
      <w:r>
        <w:t xml:space="preserve">We have already referred to the comments of the Housing Communities and Local Government Committee on the need for reforms to the Council Tax </w:t>
      </w:r>
      <w:r w:rsidR="0073782B">
        <w:t>system,</w:t>
      </w:r>
      <w:r>
        <w:t xml:space="preserve"> the problems manifest themselves in this allocation in that any authorities who have maintained a relatively low band D and overall Council Tax level are rewarded for doing so by </w:t>
      </w:r>
      <w:r w:rsidR="00930CB8">
        <w:t>increased social care grant</w:t>
      </w:r>
      <w:r>
        <w:t xml:space="preserve"> under this allocation.</w:t>
      </w:r>
    </w:p>
    <w:p w:rsidR="00D56718" w:rsidRDefault="00D56718" w:rsidP="00D56718">
      <w:pPr>
        <w:pStyle w:val="ListParagraph"/>
      </w:pPr>
    </w:p>
    <w:p w:rsidR="00D56718" w:rsidRDefault="003E66C5" w:rsidP="00F57F9B">
      <w:pPr>
        <w:pStyle w:val="ListParagraph"/>
        <w:numPr>
          <w:ilvl w:val="1"/>
          <w:numId w:val="3"/>
        </w:numPr>
        <w:tabs>
          <w:tab w:val="left" w:pos="709"/>
        </w:tabs>
        <w:spacing w:line="240" w:lineRule="auto"/>
        <w:ind w:left="709" w:hanging="709"/>
      </w:pPr>
      <w:r>
        <w:lastRenderedPageBreak/>
        <w:t xml:space="preserve">The </w:t>
      </w:r>
      <w:r w:rsidR="0073782B">
        <w:t>problem</w:t>
      </w:r>
      <w:r>
        <w:t xml:space="preserve"> could be rectified in this allocation by using a notional band D value to </w:t>
      </w:r>
      <w:r w:rsidR="0073782B">
        <w:t>allocate</w:t>
      </w:r>
      <w:r>
        <w:t xml:space="preserve"> the overall value of the social care precept of circa £500 million. Hence </w:t>
      </w:r>
      <w:r w:rsidR="00D70945">
        <w:t xml:space="preserve">in the method used by MHCLG </w:t>
      </w:r>
      <w:r>
        <w:t>authorities would have their allocation of £650 million reduced by a</w:t>
      </w:r>
      <w:r w:rsidRPr="00D97B4B">
        <w:rPr>
          <w:b/>
        </w:rPr>
        <w:t xml:space="preserve"> </w:t>
      </w:r>
      <w:r w:rsidR="00930CB8" w:rsidRPr="00D97B4B">
        <w:rPr>
          <w:b/>
        </w:rPr>
        <w:t>notional</w:t>
      </w:r>
      <w:r w:rsidR="00930CB8">
        <w:t xml:space="preserve"> precept value which fairly </w:t>
      </w:r>
      <w:r w:rsidR="00D97B4B">
        <w:t xml:space="preserve">and equally </w:t>
      </w:r>
      <w:r w:rsidR="00930CB8">
        <w:t>reflected the tax base of each authority</w:t>
      </w:r>
      <w:r w:rsidR="00D97B4B">
        <w:t>. This equalising adjustment may require a second adjustment to eliminate resultant negatives.</w:t>
      </w:r>
      <w:r w:rsidR="00872017">
        <w:tab/>
      </w:r>
    </w:p>
    <w:p w:rsidR="00D56718" w:rsidRDefault="00D56718" w:rsidP="00D56718">
      <w:pPr>
        <w:pStyle w:val="ListParagraph"/>
      </w:pPr>
    </w:p>
    <w:p w:rsidR="00D56718" w:rsidRDefault="00930CB8" w:rsidP="00F57F9B">
      <w:pPr>
        <w:pStyle w:val="ListParagraph"/>
        <w:numPr>
          <w:ilvl w:val="1"/>
          <w:numId w:val="3"/>
        </w:numPr>
        <w:tabs>
          <w:tab w:val="left" w:pos="709"/>
        </w:tabs>
        <w:spacing w:line="240" w:lineRule="auto"/>
        <w:ind w:left="709" w:hanging="709"/>
      </w:pPr>
      <w:r>
        <w:t>The precedent for this is already established in the current and proposed resource adjust</w:t>
      </w:r>
      <w:r w:rsidR="00FF4D9C">
        <w:t>ment in the funding formula and again places equal proportions of funding where it is most needed.</w:t>
      </w:r>
    </w:p>
    <w:p w:rsidR="00930CB8" w:rsidRDefault="00930CB8" w:rsidP="00930CB8">
      <w:pPr>
        <w:pStyle w:val="ListParagraph"/>
      </w:pPr>
    </w:p>
    <w:p w:rsidR="00930CB8" w:rsidRPr="00FF4D9C" w:rsidRDefault="000B11B6" w:rsidP="00FF4D9C">
      <w:pPr>
        <w:pStyle w:val="ListParagraph"/>
        <w:numPr>
          <w:ilvl w:val="0"/>
          <w:numId w:val="3"/>
        </w:numPr>
        <w:tabs>
          <w:tab w:val="left" w:pos="426"/>
        </w:tabs>
        <w:spacing w:line="240" w:lineRule="auto"/>
        <w:rPr>
          <w:b/>
        </w:rPr>
      </w:pPr>
      <w:r>
        <w:rPr>
          <w:b/>
        </w:rPr>
        <w:t>Q5</w:t>
      </w:r>
      <w:r w:rsidR="00FF4D9C">
        <w:rPr>
          <w:b/>
        </w:rPr>
        <w:t xml:space="preserve"> </w:t>
      </w:r>
      <w:r w:rsidR="00FF4D9C" w:rsidRPr="00FF4D9C">
        <w:rPr>
          <w:b/>
        </w:rPr>
        <w:t>Do you agree with the Governments proposals for Improved Better Care Funding in 2020-21</w:t>
      </w:r>
      <w:r w:rsidR="00FF4D9C">
        <w:rPr>
          <w:b/>
        </w:rPr>
        <w:t>?</w:t>
      </w:r>
    </w:p>
    <w:p w:rsidR="00D70945" w:rsidRDefault="00D70945" w:rsidP="00D70945">
      <w:pPr>
        <w:pStyle w:val="ListParagraph"/>
      </w:pPr>
    </w:p>
    <w:p w:rsidR="00D70945" w:rsidRDefault="00FF4D9C" w:rsidP="00D56718">
      <w:pPr>
        <w:pStyle w:val="ListParagraph"/>
        <w:numPr>
          <w:ilvl w:val="1"/>
          <w:numId w:val="3"/>
        </w:numPr>
        <w:tabs>
          <w:tab w:val="left" w:pos="426"/>
        </w:tabs>
        <w:spacing w:line="240" w:lineRule="auto"/>
        <w:ind w:left="426" w:hanging="426"/>
      </w:pPr>
      <w:r>
        <w:t>Our response should be read in conjunction</w:t>
      </w:r>
      <w:r w:rsidR="00983336">
        <w:t xml:space="preserve"> with our response to question 4</w:t>
      </w:r>
      <w:r>
        <w:t>.</w:t>
      </w:r>
    </w:p>
    <w:p w:rsidR="00D70945" w:rsidRDefault="00D70945" w:rsidP="00D70945">
      <w:pPr>
        <w:pStyle w:val="ListParagraph"/>
      </w:pPr>
    </w:p>
    <w:p w:rsidR="00D70945" w:rsidRDefault="00FF4D9C" w:rsidP="00D56718">
      <w:pPr>
        <w:pStyle w:val="ListParagraph"/>
        <w:numPr>
          <w:ilvl w:val="1"/>
          <w:numId w:val="3"/>
        </w:numPr>
        <w:tabs>
          <w:tab w:val="left" w:pos="426"/>
        </w:tabs>
        <w:spacing w:line="240" w:lineRule="auto"/>
        <w:ind w:left="426" w:hanging="426"/>
      </w:pPr>
      <w:r>
        <w:t xml:space="preserve">Members agree that social care grant should be continued and indeed extended. As has been noted by the HCLG Committee it is highly desirable to </w:t>
      </w:r>
      <w:r w:rsidR="00816CD0">
        <w:t>move away f</w:t>
      </w:r>
      <w:r>
        <w:t>r</w:t>
      </w:r>
      <w:r w:rsidR="00816CD0">
        <w:t>om year-on-</w:t>
      </w:r>
      <w:r>
        <w:t>year hand to mouth funding and towards a more stable and predictable funding stream that reflects demand at a local level.</w:t>
      </w:r>
      <w:r w:rsidR="00C97C4F">
        <w:t xml:space="preserve"> It should be a priority of Government to secure a longer term funding stream for care services</w:t>
      </w:r>
    </w:p>
    <w:p w:rsidR="00D70945" w:rsidRDefault="00D70945" w:rsidP="00D70945">
      <w:pPr>
        <w:pStyle w:val="ListParagraph"/>
      </w:pPr>
    </w:p>
    <w:p w:rsidR="000B11B6" w:rsidRDefault="000B11B6" w:rsidP="00D56718">
      <w:pPr>
        <w:pStyle w:val="ListParagraph"/>
        <w:numPr>
          <w:ilvl w:val="1"/>
          <w:numId w:val="3"/>
        </w:numPr>
        <w:tabs>
          <w:tab w:val="left" w:pos="426"/>
        </w:tabs>
        <w:spacing w:line="240" w:lineRule="auto"/>
        <w:ind w:left="426" w:hanging="426"/>
      </w:pPr>
      <w:r>
        <w:t>There is emerging concern amongst members however that</w:t>
      </w:r>
      <w:r w:rsidR="00983336">
        <w:t>,</w:t>
      </w:r>
      <w:r>
        <w:t xml:space="preserve"> immediately following the </w:t>
      </w:r>
      <w:r w:rsidR="008C7DE5">
        <w:t xml:space="preserve">funding </w:t>
      </w:r>
      <w:r>
        <w:t>anno</w:t>
      </w:r>
      <w:r w:rsidR="00F57F9B">
        <w:t>uncement , National Health Service Directors</w:t>
      </w:r>
      <w:r>
        <w:t xml:space="preserve"> have begun manoeuvres to hypothecate some of the </w:t>
      </w:r>
      <w:r w:rsidR="008C7DE5">
        <w:t xml:space="preserve">published </w:t>
      </w:r>
      <w:r>
        <w:t>increase against costs which are not the responsibility of Councils under current arrangements</w:t>
      </w:r>
      <w:r w:rsidR="008C7DE5">
        <w:t>, namely</w:t>
      </w:r>
      <w:r>
        <w:t>:</w:t>
      </w:r>
    </w:p>
    <w:p w:rsidR="000B11B6" w:rsidRDefault="000B11B6" w:rsidP="00983336">
      <w:pPr>
        <w:pStyle w:val="ListParagraph"/>
        <w:numPr>
          <w:ilvl w:val="0"/>
          <w:numId w:val="14"/>
        </w:numPr>
        <w:ind w:left="993"/>
      </w:pPr>
      <w:r>
        <w:t xml:space="preserve">Using the increase to fund </w:t>
      </w:r>
      <w:r w:rsidR="00FA5C57">
        <w:t>increased pay costs for “Agenda for Change” for which they have previously had one-off in year funding from Government</w:t>
      </w:r>
    </w:p>
    <w:p w:rsidR="00FA5C57" w:rsidRDefault="00FA5C57" w:rsidP="00983336">
      <w:pPr>
        <w:pStyle w:val="ListParagraph"/>
        <w:numPr>
          <w:ilvl w:val="0"/>
          <w:numId w:val="14"/>
        </w:numPr>
        <w:ind w:left="993"/>
      </w:pPr>
      <w:r>
        <w:t xml:space="preserve">Using the funds to increase HIV </w:t>
      </w:r>
      <w:proofErr w:type="spellStart"/>
      <w:r>
        <w:t>PrEP</w:t>
      </w:r>
      <w:proofErr w:type="spellEnd"/>
      <w:r>
        <w:t xml:space="preserve"> provision, a cost it appears they are </w:t>
      </w:r>
      <w:r w:rsidR="00310A4A">
        <w:t xml:space="preserve">trying to </w:t>
      </w:r>
      <w:r>
        <w:t xml:space="preserve">unilaterally </w:t>
      </w:r>
      <w:r w:rsidR="00310A4A">
        <w:t>pass</w:t>
      </w:r>
      <w:r>
        <w:t xml:space="preserve"> on to local authorities without additional funding</w:t>
      </w:r>
    </w:p>
    <w:p w:rsidR="000B11B6" w:rsidRDefault="000B11B6" w:rsidP="00FA5C57">
      <w:pPr>
        <w:pStyle w:val="ListParagraph"/>
        <w:tabs>
          <w:tab w:val="left" w:pos="426"/>
        </w:tabs>
        <w:spacing w:line="240" w:lineRule="auto"/>
        <w:ind w:left="426"/>
      </w:pPr>
    </w:p>
    <w:p w:rsidR="00FA5C57" w:rsidRDefault="00FA5C57" w:rsidP="00D56718">
      <w:pPr>
        <w:pStyle w:val="ListParagraph"/>
        <w:numPr>
          <w:ilvl w:val="1"/>
          <w:numId w:val="3"/>
        </w:numPr>
        <w:tabs>
          <w:tab w:val="left" w:pos="426"/>
        </w:tabs>
        <w:spacing w:line="240" w:lineRule="auto"/>
        <w:ind w:left="426" w:hanging="426"/>
      </w:pPr>
      <w:r>
        <w:t>If both, or either, of these concerns prove to be correct then Government cannot state that authorities are receiving an increase in pooled funding since this is being absorbed by increased financial responsibility</w:t>
      </w:r>
    </w:p>
    <w:p w:rsidR="00FA5C57" w:rsidRDefault="00FA5C57" w:rsidP="00FA5C57">
      <w:pPr>
        <w:pStyle w:val="ListParagraph"/>
        <w:tabs>
          <w:tab w:val="left" w:pos="426"/>
        </w:tabs>
        <w:spacing w:line="240" w:lineRule="auto"/>
        <w:ind w:left="426"/>
      </w:pPr>
    </w:p>
    <w:p w:rsidR="00D70945" w:rsidRDefault="00FA5C57" w:rsidP="00D56718">
      <w:pPr>
        <w:pStyle w:val="ListParagraph"/>
        <w:numPr>
          <w:ilvl w:val="1"/>
          <w:numId w:val="3"/>
        </w:numPr>
        <w:tabs>
          <w:tab w:val="left" w:pos="426"/>
        </w:tabs>
        <w:spacing w:line="240" w:lineRule="auto"/>
        <w:ind w:left="426" w:hanging="426"/>
      </w:pPr>
      <w:r>
        <w:t>Due to issues like the ones raised above, m</w:t>
      </w:r>
      <w:r w:rsidR="00C97C4F">
        <w:t xml:space="preserve">any members feel constrained by the need to pool IBCF funding into the Better Care Fund. Whilst recognising and supporting the need for </w:t>
      </w:r>
      <w:r w:rsidR="0073782B">
        <w:t>cooperation</w:t>
      </w:r>
      <w:r w:rsidR="00C97C4F">
        <w:t xml:space="preserve"> between health bodies they feel a higher level of autonomy would help them to more proactively address joint issues.</w:t>
      </w:r>
    </w:p>
    <w:p w:rsidR="00D70945" w:rsidRDefault="00D70945" w:rsidP="00D70945">
      <w:pPr>
        <w:pStyle w:val="ListParagraph"/>
      </w:pPr>
    </w:p>
    <w:p w:rsidR="00D70945" w:rsidRPr="00110213" w:rsidRDefault="00FA5C57" w:rsidP="00110213">
      <w:pPr>
        <w:pStyle w:val="ListParagraph"/>
        <w:numPr>
          <w:ilvl w:val="0"/>
          <w:numId w:val="3"/>
        </w:numPr>
        <w:tabs>
          <w:tab w:val="left" w:pos="426"/>
        </w:tabs>
        <w:spacing w:line="240" w:lineRule="auto"/>
        <w:rPr>
          <w:b/>
        </w:rPr>
      </w:pPr>
      <w:r>
        <w:rPr>
          <w:b/>
        </w:rPr>
        <w:t>Q6</w:t>
      </w:r>
      <w:r w:rsidR="00110213">
        <w:rPr>
          <w:b/>
        </w:rPr>
        <w:t xml:space="preserve"> </w:t>
      </w:r>
      <w:r>
        <w:rPr>
          <w:b/>
        </w:rPr>
        <w:t xml:space="preserve">Do you agree with the Governments proposal to fund the New Homes Bonus 2020-21 with the planned </w:t>
      </w:r>
      <w:r w:rsidR="00983336">
        <w:rPr>
          <w:b/>
        </w:rPr>
        <w:t>£</w:t>
      </w:r>
      <w:r>
        <w:rPr>
          <w:b/>
        </w:rPr>
        <w:t>900 million from Revenue Support Grant, with additional funding being secured from departmental resources and to allocate the funds in line with previous years but with no legacy payments</w:t>
      </w:r>
      <w:r w:rsidR="00110213" w:rsidRPr="00110213">
        <w:rPr>
          <w:b/>
        </w:rPr>
        <w:t>?</w:t>
      </w:r>
    </w:p>
    <w:p w:rsidR="00D70945" w:rsidRDefault="00D70945" w:rsidP="00D70945">
      <w:pPr>
        <w:pStyle w:val="ListParagraph"/>
      </w:pPr>
    </w:p>
    <w:p w:rsidR="00D70945" w:rsidRDefault="00FA5C57" w:rsidP="00D56718">
      <w:pPr>
        <w:pStyle w:val="ListParagraph"/>
        <w:numPr>
          <w:ilvl w:val="1"/>
          <w:numId w:val="3"/>
        </w:numPr>
        <w:tabs>
          <w:tab w:val="left" w:pos="426"/>
        </w:tabs>
        <w:spacing w:line="240" w:lineRule="auto"/>
        <w:ind w:left="426" w:hanging="426"/>
      </w:pPr>
      <w:r>
        <w:t>The</w:t>
      </w:r>
      <w:r w:rsidR="00110213">
        <w:t xml:space="preserve"> topslice </w:t>
      </w:r>
      <w:r w:rsidR="00CA1B4F">
        <w:t>has clearly hit our members hardest</w:t>
      </w:r>
      <w:r w:rsidR="00110213">
        <w:t xml:space="preserve">. </w:t>
      </w:r>
    </w:p>
    <w:p w:rsidR="00D70945" w:rsidRDefault="00D70945" w:rsidP="00D70945">
      <w:pPr>
        <w:pStyle w:val="ListParagraph"/>
      </w:pPr>
    </w:p>
    <w:p w:rsidR="00D70945" w:rsidRDefault="00110213" w:rsidP="00D56718">
      <w:pPr>
        <w:pStyle w:val="ListParagraph"/>
        <w:numPr>
          <w:ilvl w:val="1"/>
          <w:numId w:val="3"/>
        </w:numPr>
        <w:tabs>
          <w:tab w:val="left" w:pos="426"/>
        </w:tabs>
        <w:spacing w:line="240" w:lineRule="auto"/>
        <w:ind w:left="426" w:hanging="426"/>
      </w:pPr>
      <w:r>
        <w:t xml:space="preserve">Whilst members support the principle of a formula allocation based on housing need, the vast majority do </w:t>
      </w:r>
      <w:r w:rsidR="00280387">
        <w:t>no</w:t>
      </w:r>
      <w:r w:rsidR="00C762E2">
        <w:t>t</w:t>
      </w:r>
      <w:r w:rsidR="00280387">
        <w:t xml:space="preserve"> support New Homes Bonus in its current form and particularly as currently funded.</w:t>
      </w:r>
    </w:p>
    <w:p w:rsidR="00D70945" w:rsidRDefault="00D70945" w:rsidP="00D70945">
      <w:pPr>
        <w:pStyle w:val="ListParagraph"/>
      </w:pPr>
    </w:p>
    <w:p w:rsidR="00D70945" w:rsidRDefault="00280387" w:rsidP="00D56718">
      <w:pPr>
        <w:pStyle w:val="ListParagraph"/>
        <w:numPr>
          <w:ilvl w:val="1"/>
          <w:numId w:val="3"/>
        </w:numPr>
        <w:tabs>
          <w:tab w:val="left" w:pos="426"/>
        </w:tabs>
        <w:spacing w:line="240" w:lineRule="auto"/>
        <w:ind w:left="426" w:hanging="426"/>
      </w:pPr>
      <w:r>
        <w:lastRenderedPageBreak/>
        <w:t>The great majority of our members would prefer to see the availabl</w:t>
      </w:r>
      <w:r w:rsidR="00C762E2">
        <w:t>e funding channelled back into S</w:t>
      </w:r>
      <w:r>
        <w:t>ettlement funding from where it has been take</w:t>
      </w:r>
      <w:r w:rsidR="00FA5C57">
        <w:t>n and applied in proportion to S</w:t>
      </w:r>
      <w:r>
        <w:t xml:space="preserve">ettlement </w:t>
      </w:r>
      <w:r w:rsidR="00FA5C57">
        <w:t>F</w:t>
      </w:r>
      <w:r>
        <w:t>unding shares</w:t>
      </w:r>
      <w:r w:rsidR="00C762E2">
        <w:t>.</w:t>
      </w:r>
    </w:p>
    <w:p w:rsidR="00280387" w:rsidRDefault="00280387" w:rsidP="00280387">
      <w:pPr>
        <w:pStyle w:val="ListParagraph"/>
      </w:pPr>
    </w:p>
    <w:p w:rsidR="00280387" w:rsidRPr="00280387" w:rsidRDefault="00FA5C57" w:rsidP="00280387">
      <w:pPr>
        <w:pStyle w:val="ListParagraph"/>
        <w:numPr>
          <w:ilvl w:val="0"/>
          <w:numId w:val="3"/>
        </w:numPr>
        <w:tabs>
          <w:tab w:val="left" w:pos="426"/>
        </w:tabs>
        <w:spacing w:line="240" w:lineRule="auto"/>
        <w:rPr>
          <w:b/>
        </w:rPr>
      </w:pPr>
      <w:r>
        <w:rPr>
          <w:b/>
        </w:rPr>
        <w:t xml:space="preserve">Question 7 </w:t>
      </w:r>
      <w:r w:rsidR="00280387" w:rsidRPr="00280387">
        <w:rPr>
          <w:b/>
        </w:rPr>
        <w:t xml:space="preserve">Do you agree with the Governments proposed approach to paying £81 million Rural Services Delivery Grant in 2020-21 to the upper quartile of local authorities based on the super sparsity </w:t>
      </w:r>
      <w:r w:rsidR="0073782B" w:rsidRPr="00280387">
        <w:rPr>
          <w:b/>
        </w:rPr>
        <w:t>indicator?</w:t>
      </w:r>
    </w:p>
    <w:p w:rsidR="00D70945" w:rsidRDefault="00D70945" w:rsidP="00D70945">
      <w:pPr>
        <w:pStyle w:val="ListParagraph"/>
      </w:pPr>
    </w:p>
    <w:p w:rsidR="00D70945" w:rsidRDefault="00280387" w:rsidP="00D56718">
      <w:pPr>
        <w:pStyle w:val="ListParagraph"/>
        <w:numPr>
          <w:ilvl w:val="1"/>
          <w:numId w:val="3"/>
        </w:numPr>
        <w:tabs>
          <w:tab w:val="left" w:pos="426"/>
        </w:tabs>
        <w:spacing w:line="240" w:lineRule="auto"/>
        <w:ind w:left="426" w:hanging="426"/>
      </w:pPr>
      <w:r>
        <w:t>We have objected to this grant on previous occasions and continue to do so on the grounds that:</w:t>
      </w:r>
    </w:p>
    <w:p w:rsidR="00D70945" w:rsidRDefault="00D70945" w:rsidP="00234E8B">
      <w:pPr>
        <w:pStyle w:val="ListParagraph"/>
        <w:ind w:left="993"/>
      </w:pPr>
    </w:p>
    <w:p w:rsidR="00D70945" w:rsidRDefault="00513C7F" w:rsidP="00234E8B">
      <w:pPr>
        <w:pStyle w:val="ListParagraph"/>
        <w:numPr>
          <w:ilvl w:val="1"/>
          <w:numId w:val="11"/>
        </w:numPr>
        <w:tabs>
          <w:tab w:val="left" w:pos="426"/>
        </w:tabs>
        <w:spacing w:line="240" w:lineRule="auto"/>
        <w:ind w:left="993"/>
      </w:pPr>
      <w:r>
        <w:t>t</w:t>
      </w:r>
      <w:r w:rsidR="00280387">
        <w:t>he amount and allocation has not been justified on any occasion or supported by  any objective statistical analysis</w:t>
      </w:r>
    </w:p>
    <w:p w:rsidR="00280387" w:rsidRDefault="00280387" w:rsidP="00234E8B">
      <w:pPr>
        <w:pStyle w:val="ListParagraph"/>
        <w:ind w:left="993"/>
      </w:pPr>
    </w:p>
    <w:p w:rsidR="00280387" w:rsidRDefault="00513C7F" w:rsidP="00234E8B">
      <w:pPr>
        <w:pStyle w:val="ListParagraph"/>
        <w:numPr>
          <w:ilvl w:val="1"/>
          <w:numId w:val="11"/>
        </w:numPr>
        <w:tabs>
          <w:tab w:val="left" w:pos="426"/>
        </w:tabs>
        <w:spacing w:line="240" w:lineRule="auto"/>
        <w:ind w:left="993"/>
      </w:pPr>
      <w:r>
        <w:t>s</w:t>
      </w:r>
      <w:r w:rsidR="00280387">
        <w:t>parsity is already included in the formula that underpins settlement funding</w:t>
      </w:r>
      <w:r>
        <w:t xml:space="preserve"> and</w:t>
      </w:r>
    </w:p>
    <w:p w:rsidR="00280387" w:rsidRDefault="00280387" w:rsidP="00234E8B">
      <w:pPr>
        <w:pStyle w:val="ListParagraph"/>
        <w:ind w:left="993"/>
      </w:pPr>
    </w:p>
    <w:p w:rsidR="00280387" w:rsidRDefault="00513C7F" w:rsidP="00234E8B">
      <w:pPr>
        <w:pStyle w:val="ListParagraph"/>
        <w:numPr>
          <w:ilvl w:val="1"/>
          <w:numId w:val="11"/>
        </w:numPr>
        <w:tabs>
          <w:tab w:val="left" w:pos="426"/>
        </w:tabs>
        <w:spacing w:line="240" w:lineRule="auto"/>
        <w:ind w:left="993"/>
      </w:pPr>
      <w:r>
        <w:t>m</w:t>
      </w:r>
      <w:r w:rsidR="00280387">
        <w:t xml:space="preserve">any authorities that </w:t>
      </w:r>
      <w:r>
        <w:t>benefit most from Rural Service</w:t>
      </w:r>
      <w:r w:rsidR="00280387">
        <w:t xml:space="preserve"> Grants have already befitted extensively from:</w:t>
      </w:r>
    </w:p>
    <w:p w:rsidR="00280387" w:rsidRDefault="00280387" w:rsidP="00234E8B">
      <w:pPr>
        <w:pStyle w:val="ListParagraph"/>
        <w:numPr>
          <w:ilvl w:val="0"/>
          <w:numId w:val="12"/>
        </w:numPr>
        <w:tabs>
          <w:tab w:val="left" w:pos="426"/>
        </w:tabs>
        <w:spacing w:line="240" w:lineRule="auto"/>
        <w:ind w:left="1560"/>
      </w:pPr>
      <w:r>
        <w:t xml:space="preserve">Transition grant </w:t>
      </w:r>
    </w:p>
    <w:p w:rsidR="00280387" w:rsidRDefault="00280387" w:rsidP="00234E8B">
      <w:pPr>
        <w:pStyle w:val="ListParagraph"/>
        <w:numPr>
          <w:ilvl w:val="0"/>
          <w:numId w:val="12"/>
        </w:numPr>
        <w:tabs>
          <w:tab w:val="left" w:pos="426"/>
        </w:tabs>
        <w:spacing w:line="240" w:lineRule="auto"/>
        <w:ind w:left="1560"/>
      </w:pPr>
      <w:r>
        <w:t xml:space="preserve">Negative RSG adjustment </w:t>
      </w:r>
    </w:p>
    <w:p w:rsidR="00280387" w:rsidRDefault="00513C7F" w:rsidP="00234E8B">
      <w:pPr>
        <w:pStyle w:val="ListParagraph"/>
        <w:numPr>
          <w:ilvl w:val="0"/>
          <w:numId w:val="12"/>
        </w:numPr>
        <w:tabs>
          <w:tab w:val="left" w:pos="426"/>
        </w:tabs>
        <w:spacing w:line="240" w:lineRule="auto"/>
        <w:ind w:left="1560"/>
      </w:pPr>
      <w:r>
        <w:t>Generous shares of business rate growth</w:t>
      </w:r>
    </w:p>
    <w:p w:rsidR="00280387" w:rsidRDefault="00280387" w:rsidP="00280387">
      <w:pPr>
        <w:pStyle w:val="ListParagraph"/>
      </w:pPr>
    </w:p>
    <w:p w:rsidR="00FA5C57" w:rsidRDefault="00FA5C57" w:rsidP="00D56718">
      <w:pPr>
        <w:pStyle w:val="ListParagraph"/>
        <w:numPr>
          <w:ilvl w:val="1"/>
          <w:numId w:val="3"/>
        </w:numPr>
        <w:tabs>
          <w:tab w:val="left" w:pos="426"/>
        </w:tabs>
        <w:spacing w:line="240" w:lineRule="auto"/>
        <w:ind w:left="426" w:hanging="426"/>
      </w:pPr>
      <w:r>
        <w:t>It is significant that, despite the inbuilt majority of shire areas in council surveys this proposal did not have the majority support of members.</w:t>
      </w:r>
    </w:p>
    <w:p w:rsidR="00FA5C57" w:rsidRDefault="00FA5C57" w:rsidP="00FA5C57">
      <w:pPr>
        <w:pStyle w:val="ListParagraph"/>
        <w:tabs>
          <w:tab w:val="left" w:pos="426"/>
        </w:tabs>
        <w:spacing w:line="240" w:lineRule="auto"/>
        <w:ind w:left="426"/>
      </w:pPr>
    </w:p>
    <w:p w:rsidR="00280387" w:rsidRDefault="00FA5C57" w:rsidP="00D56718">
      <w:pPr>
        <w:pStyle w:val="ListParagraph"/>
        <w:numPr>
          <w:ilvl w:val="1"/>
          <w:numId w:val="3"/>
        </w:numPr>
        <w:tabs>
          <w:tab w:val="left" w:pos="426"/>
        </w:tabs>
        <w:spacing w:line="240" w:lineRule="auto"/>
        <w:ind w:left="426" w:hanging="426"/>
      </w:pPr>
      <w:r>
        <w:t>W</w:t>
      </w:r>
      <w:r w:rsidR="00513C7F">
        <w:t>e therefore do not agree with the proposal and suggest the amount is added to settlement funding</w:t>
      </w:r>
      <w:r w:rsidR="00C762E2">
        <w:t>.</w:t>
      </w:r>
    </w:p>
    <w:p w:rsidR="00353AB9" w:rsidRDefault="00353AB9" w:rsidP="00353AB9">
      <w:pPr>
        <w:pStyle w:val="ListParagraph"/>
        <w:tabs>
          <w:tab w:val="left" w:pos="426"/>
        </w:tabs>
        <w:spacing w:line="240" w:lineRule="auto"/>
        <w:ind w:left="426"/>
      </w:pPr>
    </w:p>
    <w:p w:rsidR="00AE62EB" w:rsidRPr="002A3594" w:rsidRDefault="001764DE" w:rsidP="002A3594">
      <w:pPr>
        <w:pStyle w:val="ListParagraph"/>
        <w:numPr>
          <w:ilvl w:val="0"/>
          <w:numId w:val="3"/>
        </w:numPr>
        <w:tabs>
          <w:tab w:val="left" w:pos="709"/>
        </w:tabs>
        <w:spacing w:line="240" w:lineRule="auto"/>
        <w:rPr>
          <w:b/>
        </w:rPr>
      </w:pPr>
      <w:r>
        <w:rPr>
          <w:b/>
        </w:rPr>
        <w:t>Q8</w:t>
      </w:r>
      <w:r w:rsidR="002A3594" w:rsidRPr="002A3594">
        <w:rPr>
          <w:b/>
        </w:rPr>
        <w:t xml:space="preserve"> Do you have any comments on the impact of the proposals for the 2020-21 settlement outlined in this consultation document on persons who share a protected characteristic?</w:t>
      </w:r>
    </w:p>
    <w:p w:rsidR="00AE62EB" w:rsidRDefault="00AE62EB" w:rsidP="00AE62EB">
      <w:pPr>
        <w:pStyle w:val="ListParagraph"/>
      </w:pPr>
    </w:p>
    <w:p w:rsidR="00AE62EB" w:rsidRDefault="002A3594" w:rsidP="00AE62EB">
      <w:pPr>
        <w:pStyle w:val="ListParagraph"/>
        <w:numPr>
          <w:ilvl w:val="1"/>
          <w:numId w:val="3"/>
        </w:numPr>
        <w:tabs>
          <w:tab w:val="left" w:pos="709"/>
        </w:tabs>
        <w:spacing w:line="240" w:lineRule="auto"/>
        <w:ind w:left="709" w:hanging="709"/>
      </w:pPr>
      <w:r>
        <w:t>Having recently conducted an in depth examination into the profile of costs of children’s services (jointly with DfE) the Department will hopefully be in a good position to project the real cost of delivering these services in an environment where demand is increasing.</w:t>
      </w:r>
    </w:p>
    <w:p w:rsidR="00AE62EB" w:rsidRDefault="00AE62EB" w:rsidP="00AE62EB">
      <w:pPr>
        <w:pStyle w:val="ListParagraph"/>
      </w:pPr>
    </w:p>
    <w:p w:rsidR="00AE62EB" w:rsidRDefault="00353AB9" w:rsidP="00AE62EB">
      <w:pPr>
        <w:pStyle w:val="ListParagraph"/>
        <w:numPr>
          <w:ilvl w:val="1"/>
          <w:numId w:val="3"/>
        </w:numPr>
        <w:tabs>
          <w:tab w:val="left" w:pos="709"/>
        </w:tabs>
        <w:spacing w:line="240" w:lineRule="auto"/>
        <w:ind w:left="709" w:hanging="709"/>
      </w:pPr>
      <w:r>
        <w:t>The prospect of an under-</w:t>
      </w:r>
      <w:r w:rsidR="002A3594">
        <w:t>funded, and therefore under-supported children’s social service</w:t>
      </w:r>
      <w:r w:rsidR="00E45D79">
        <w:t xml:space="preserve"> cannot be encompassed. This was highlighted in our document, “no investment no future document</w:t>
      </w:r>
      <w:r w:rsidR="00E45D79">
        <w:rPr>
          <w:rStyle w:val="FootnoteReference"/>
        </w:rPr>
        <w:footnoteReference w:id="11"/>
      </w:r>
      <w:r w:rsidR="00E45D79">
        <w:t>” this year, showing that child protection assessments have increased by 126% since 2010 whilst services focussed around our poorest youth such as youth centres and libraries have declined, with authorities increasingly focussed on core statutory services.</w:t>
      </w:r>
    </w:p>
    <w:p w:rsidR="00AE62EB" w:rsidRDefault="00AE62EB" w:rsidP="00AE62EB">
      <w:pPr>
        <w:pStyle w:val="ListParagraph"/>
      </w:pPr>
    </w:p>
    <w:p w:rsidR="00AE62EB" w:rsidRDefault="00E45D79" w:rsidP="00AE62EB">
      <w:pPr>
        <w:pStyle w:val="ListParagraph"/>
        <w:numPr>
          <w:ilvl w:val="1"/>
          <w:numId w:val="3"/>
        </w:numPr>
        <w:tabs>
          <w:tab w:val="left" w:pos="709"/>
        </w:tabs>
        <w:spacing w:line="240" w:lineRule="auto"/>
        <w:ind w:left="709" w:hanging="709"/>
      </w:pPr>
      <w:r>
        <w:t xml:space="preserve">We are already seeing the consequences of this for </w:t>
      </w:r>
      <w:r w:rsidR="005E2B02">
        <w:t xml:space="preserve">our </w:t>
      </w:r>
      <w:r>
        <w:t>poorest young people with a healthy life expectancy gap of 18 years between the poorest and wealthiest and children from low income households twice as likely to suffer mental health issues.</w:t>
      </w:r>
    </w:p>
    <w:p w:rsidR="00E45D79" w:rsidRDefault="00E45D79" w:rsidP="00E45D79">
      <w:pPr>
        <w:pStyle w:val="ListParagraph"/>
      </w:pPr>
    </w:p>
    <w:p w:rsidR="00E45D79" w:rsidRDefault="00E45D79" w:rsidP="00AE62EB">
      <w:pPr>
        <w:pStyle w:val="ListParagraph"/>
        <w:numPr>
          <w:ilvl w:val="1"/>
          <w:numId w:val="3"/>
        </w:numPr>
        <w:tabs>
          <w:tab w:val="left" w:pos="709"/>
        </w:tabs>
        <w:spacing w:line="240" w:lineRule="auto"/>
        <w:ind w:left="709" w:hanging="709"/>
      </w:pPr>
      <w:r>
        <w:t xml:space="preserve">Badging better care money as adult and </w:t>
      </w:r>
      <w:r w:rsidR="005E2B02">
        <w:t>children’s</w:t>
      </w:r>
      <w:r>
        <w:t xml:space="preserve"> care will not address this issue unless the overall quantum is adequate.</w:t>
      </w:r>
      <w:r w:rsidR="001764DE">
        <w:t xml:space="preserve"> This is even more difficult to accept in a year where around £1.8 billion of funding that should have been distributed according to needs continues to be allocated on the basis of growth</w:t>
      </w:r>
    </w:p>
    <w:p w:rsidR="00D70945" w:rsidRDefault="00D70945" w:rsidP="00D70945">
      <w:pPr>
        <w:pStyle w:val="ListParagraph"/>
      </w:pPr>
    </w:p>
    <w:p w:rsidR="00D70945" w:rsidRDefault="00E45D79" w:rsidP="003C06FC">
      <w:pPr>
        <w:pStyle w:val="ListParagraph"/>
        <w:numPr>
          <w:ilvl w:val="1"/>
          <w:numId w:val="3"/>
        </w:numPr>
        <w:tabs>
          <w:tab w:val="left" w:pos="709"/>
        </w:tabs>
        <w:spacing w:line="240" w:lineRule="auto"/>
        <w:ind w:left="709" w:hanging="709"/>
      </w:pPr>
      <w:r>
        <w:t>Government seem more aware of the pressures surrounding our dependent elderly population</w:t>
      </w:r>
      <w:r w:rsidR="003C06FC">
        <w:t>.</w:t>
      </w:r>
    </w:p>
    <w:p w:rsidR="003C06FC" w:rsidRDefault="003C06FC" w:rsidP="003C06FC">
      <w:pPr>
        <w:pStyle w:val="ListParagraph"/>
      </w:pPr>
    </w:p>
    <w:p w:rsidR="003C06FC" w:rsidRDefault="005E2B02" w:rsidP="003C06FC">
      <w:pPr>
        <w:pStyle w:val="ListParagraph"/>
        <w:numPr>
          <w:ilvl w:val="1"/>
          <w:numId w:val="3"/>
        </w:numPr>
        <w:tabs>
          <w:tab w:val="left" w:pos="709"/>
        </w:tabs>
        <w:spacing w:line="240" w:lineRule="auto"/>
        <w:ind w:left="709" w:hanging="709"/>
      </w:pPr>
      <w:r>
        <w:t>Yet t</w:t>
      </w:r>
      <w:r w:rsidR="003C06FC">
        <w:t xml:space="preserve">he tension between authorities and care providers is increasing </w:t>
      </w:r>
      <w:r>
        <w:t xml:space="preserve">due to </w:t>
      </w:r>
      <w:r w:rsidR="0073782B">
        <w:t>lack</w:t>
      </w:r>
      <w:r>
        <w:t xml:space="preserve"> of funding </w:t>
      </w:r>
      <w:r w:rsidR="003C06FC">
        <w:t>and there have already been headline illustrations that the care system is at breaking point</w:t>
      </w:r>
      <w:r w:rsidR="003C06FC">
        <w:rPr>
          <w:rStyle w:val="FootnoteReference"/>
        </w:rPr>
        <w:footnoteReference w:id="12"/>
      </w:r>
      <w:r w:rsidRPr="005E2B02">
        <w:rPr>
          <w:vertAlign w:val="superscript"/>
        </w:rPr>
        <w:t>,</w:t>
      </w:r>
      <w:r>
        <w:rPr>
          <w:rStyle w:val="FootnoteReference"/>
        </w:rPr>
        <w:footnoteReference w:id="13"/>
      </w:r>
    </w:p>
    <w:p w:rsidR="003C06FC" w:rsidRDefault="003C06FC" w:rsidP="003C06FC">
      <w:pPr>
        <w:pStyle w:val="ListParagraph"/>
      </w:pPr>
    </w:p>
    <w:p w:rsidR="003C06FC" w:rsidRDefault="005E2B02" w:rsidP="003C06FC">
      <w:pPr>
        <w:pStyle w:val="ListParagraph"/>
        <w:numPr>
          <w:ilvl w:val="1"/>
          <w:numId w:val="3"/>
        </w:numPr>
        <w:tabs>
          <w:tab w:val="left" w:pos="709"/>
        </w:tabs>
        <w:spacing w:line="240" w:lineRule="auto"/>
        <w:ind w:left="709" w:hanging="709"/>
      </w:pPr>
      <w:r>
        <w:t>The Settlement was viewed by adult care directors as “a step in the right direction to stop things getting worse, but much more is needed in terms of long term funding and a long term plan if social care is to really support older and disabled people to live better lives”.</w:t>
      </w:r>
    </w:p>
    <w:sectPr w:rsidR="003C06FC" w:rsidSect="000D701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709"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EBB" w:rsidRDefault="00AA5EBB" w:rsidP="00C2425C">
      <w:pPr>
        <w:spacing w:line="240" w:lineRule="auto"/>
      </w:pPr>
      <w:r>
        <w:separator/>
      </w:r>
    </w:p>
  </w:endnote>
  <w:endnote w:type="continuationSeparator" w:id="0">
    <w:p w:rsidR="00AA5EBB" w:rsidRDefault="00AA5EBB" w:rsidP="00C24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4A" w:rsidRDefault="00310A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673692"/>
      <w:docPartObj>
        <w:docPartGallery w:val="Page Numbers (Bottom of Page)"/>
        <w:docPartUnique/>
      </w:docPartObj>
    </w:sdtPr>
    <w:sdtEndPr>
      <w:rPr>
        <w:color w:val="808080" w:themeColor="background1" w:themeShade="80"/>
        <w:spacing w:val="60"/>
      </w:rPr>
    </w:sdtEndPr>
    <w:sdtContent>
      <w:p w:rsidR="000D7012" w:rsidRDefault="000D701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85288" w:rsidRPr="00185288">
          <w:rPr>
            <w:b/>
            <w:bCs/>
            <w:noProof/>
          </w:rPr>
          <w:t>1</w:t>
        </w:r>
        <w:r>
          <w:rPr>
            <w:b/>
            <w:bCs/>
            <w:noProof/>
          </w:rPr>
          <w:fldChar w:fldCharType="end"/>
        </w:r>
        <w:r>
          <w:rPr>
            <w:b/>
            <w:bCs/>
          </w:rPr>
          <w:t xml:space="preserve"> | </w:t>
        </w:r>
        <w:r>
          <w:rPr>
            <w:color w:val="808080" w:themeColor="background1" w:themeShade="80"/>
            <w:spacing w:val="60"/>
          </w:rPr>
          <w:t>Page</w:t>
        </w:r>
      </w:p>
    </w:sdtContent>
  </w:sdt>
  <w:p w:rsidR="000D7012" w:rsidRDefault="000D70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4A" w:rsidRDefault="00310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EBB" w:rsidRDefault="00AA5EBB" w:rsidP="00C2425C">
      <w:pPr>
        <w:spacing w:line="240" w:lineRule="auto"/>
      </w:pPr>
      <w:r>
        <w:separator/>
      </w:r>
    </w:p>
  </w:footnote>
  <w:footnote w:type="continuationSeparator" w:id="0">
    <w:p w:rsidR="00AA5EBB" w:rsidRDefault="00AA5EBB" w:rsidP="00C2425C">
      <w:pPr>
        <w:spacing w:line="240" w:lineRule="auto"/>
      </w:pPr>
      <w:r>
        <w:continuationSeparator/>
      </w:r>
    </w:p>
  </w:footnote>
  <w:footnote w:id="1">
    <w:p w:rsidR="00801064" w:rsidRPr="00F263F1" w:rsidRDefault="00801064">
      <w:pPr>
        <w:pStyle w:val="FootnoteText"/>
        <w:rPr>
          <w:sz w:val="18"/>
          <w:szCs w:val="18"/>
        </w:rPr>
      </w:pPr>
      <w:r w:rsidRPr="00F263F1">
        <w:rPr>
          <w:rStyle w:val="FootnoteReference"/>
          <w:sz w:val="18"/>
          <w:szCs w:val="18"/>
        </w:rPr>
        <w:footnoteRef/>
      </w:r>
      <w:r w:rsidRPr="00F263F1">
        <w:rPr>
          <w:sz w:val="18"/>
          <w:szCs w:val="18"/>
        </w:rPr>
        <w:t xml:space="preserve"> As recorded by MHCLG in their core spending power tables 2019-20</w:t>
      </w:r>
    </w:p>
  </w:footnote>
  <w:footnote w:id="2">
    <w:p w:rsidR="00F263F1" w:rsidRDefault="00F263F1">
      <w:pPr>
        <w:pStyle w:val="FootnoteText"/>
      </w:pPr>
      <w:r w:rsidRPr="00F263F1">
        <w:rPr>
          <w:rStyle w:val="FootnoteReference"/>
          <w:sz w:val="18"/>
          <w:szCs w:val="18"/>
        </w:rPr>
        <w:footnoteRef/>
      </w:r>
      <w:r w:rsidRPr="00F263F1">
        <w:rPr>
          <w:sz w:val="18"/>
          <w:szCs w:val="18"/>
        </w:rPr>
        <w:t xml:space="preserve"> From </w:t>
      </w:r>
      <w:r>
        <w:rPr>
          <w:sz w:val="18"/>
          <w:szCs w:val="18"/>
        </w:rPr>
        <w:t>MHCLG C</w:t>
      </w:r>
      <w:r w:rsidRPr="00F263F1">
        <w:rPr>
          <w:sz w:val="18"/>
          <w:szCs w:val="18"/>
        </w:rPr>
        <w:t xml:space="preserve">ore </w:t>
      </w:r>
      <w:r>
        <w:rPr>
          <w:sz w:val="18"/>
          <w:szCs w:val="18"/>
        </w:rPr>
        <w:t>Spending P</w:t>
      </w:r>
      <w:r w:rsidRPr="00F263F1">
        <w:rPr>
          <w:sz w:val="18"/>
          <w:szCs w:val="18"/>
        </w:rPr>
        <w:t>ower 2019-20 and NNDR 2019-20 Non Domestic Rating Income</w:t>
      </w:r>
      <w:r w:rsidR="00292FFD">
        <w:rPr>
          <w:sz w:val="18"/>
          <w:szCs w:val="18"/>
        </w:rPr>
        <w:t xml:space="preserve"> forecasts.</w:t>
      </w:r>
    </w:p>
  </w:footnote>
  <w:footnote w:id="3">
    <w:p w:rsidR="00BB6C45" w:rsidRDefault="00BB6C45">
      <w:pPr>
        <w:pStyle w:val="FootnoteText"/>
      </w:pPr>
      <w:r>
        <w:rPr>
          <w:rStyle w:val="FootnoteReference"/>
        </w:rPr>
        <w:footnoteRef/>
      </w:r>
      <w:r>
        <w:t xml:space="preserve"> Nomis </w:t>
      </w:r>
      <w:r w:rsidR="00CC3C05">
        <w:t>- C</w:t>
      </w:r>
      <w:r>
        <w:t>laimant count 2015 to 2019, figures are distorted by roll out of universal credit. Act</w:t>
      </w:r>
      <w:r w:rsidR="00CC3C05">
        <w:t>ual percentages were between 37% &amp;</w:t>
      </w:r>
      <w:r>
        <w:t xml:space="preserve"> 34.8%</w:t>
      </w:r>
      <w:r w:rsidR="00CC3C05">
        <w:t xml:space="preserve"> over those years</w:t>
      </w:r>
      <w:r>
        <w:t xml:space="preserve"> and are likely to be significantly over 1/3</w:t>
      </w:r>
      <w:r w:rsidRPr="00BB6C45">
        <w:rPr>
          <w:vertAlign w:val="superscript"/>
        </w:rPr>
        <w:t>rd</w:t>
      </w:r>
      <w:r>
        <w:t>.</w:t>
      </w:r>
    </w:p>
  </w:footnote>
  <w:footnote w:id="4">
    <w:p w:rsidR="0016442C" w:rsidRDefault="0016442C">
      <w:pPr>
        <w:pStyle w:val="FootnoteText"/>
      </w:pPr>
      <w:r>
        <w:rPr>
          <w:rStyle w:val="FootnoteReference"/>
        </w:rPr>
        <w:footnoteRef/>
      </w:r>
      <w:r>
        <w:t xml:space="preserve"> DfE </w:t>
      </w:r>
      <w:r w:rsidR="00CC3C05">
        <w:t xml:space="preserve">- </w:t>
      </w:r>
      <w:r>
        <w:t>Children looked after in England 2017 to 2018</w:t>
      </w:r>
    </w:p>
  </w:footnote>
  <w:footnote w:id="5">
    <w:p w:rsidR="0085767D" w:rsidRDefault="0085767D">
      <w:pPr>
        <w:pStyle w:val="FootnoteText"/>
      </w:pPr>
      <w:r>
        <w:rPr>
          <w:rStyle w:val="FootnoteReference"/>
        </w:rPr>
        <w:footnoteRef/>
      </w:r>
      <w:r>
        <w:t xml:space="preserve"> Calculated at 50% retention, including s31 grants</w:t>
      </w:r>
      <w:r w:rsidR="00CC3C05">
        <w:t xml:space="preserve">, for pilots the rate is </w:t>
      </w:r>
      <w:r w:rsidR="0073782B">
        <w:t>higher</w:t>
      </w:r>
      <w:r>
        <w:t xml:space="preserve"> </w:t>
      </w:r>
    </w:p>
  </w:footnote>
  <w:footnote w:id="6">
    <w:p w:rsidR="00B1203A" w:rsidRDefault="00B1203A">
      <w:pPr>
        <w:pStyle w:val="FootnoteText"/>
      </w:pPr>
      <w:r>
        <w:rPr>
          <w:rStyle w:val="FootnoteReference"/>
        </w:rPr>
        <w:footnoteRef/>
      </w:r>
      <w:r>
        <w:t xml:space="preserve"> </w:t>
      </w:r>
      <w:r w:rsidRPr="00352E8E">
        <w:rPr>
          <w:sz w:val="16"/>
          <w:szCs w:val="16"/>
        </w:rPr>
        <w:t>This is the last year calculated by MHCLG at 50% retained local shares.</w:t>
      </w:r>
    </w:p>
  </w:footnote>
  <w:footnote w:id="7">
    <w:p w:rsidR="00352E8E" w:rsidRDefault="00352E8E">
      <w:pPr>
        <w:pStyle w:val="FootnoteText"/>
      </w:pPr>
      <w:r>
        <w:rPr>
          <w:rStyle w:val="FootnoteReference"/>
        </w:rPr>
        <w:footnoteRef/>
      </w:r>
      <w:r>
        <w:t xml:space="preserve"> </w:t>
      </w:r>
      <w:r w:rsidRPr="00352E8E">
        <w:rPr>
          <w:sz w:val="16"/>
          <w:szCs w:val="16"/>
        </w:rPr>
        <w:t>Does not include the results of 9 newly formed or reformed authorities e.g. Bournemouth, Christchurch and Pool and Buckinghamshire Council</w:t>
      </w:r>
    </w:p>
  </w:footnote>
  <w:footnote w:id="8">
    <w:p w:rsidR="006332DD" w:rsidRPr="006332DD" w:rsidRDefault="006332DD">
      <w:pPr>
        <w:pStyle w:val="FootnoteText"/>
        <w:rPr>
          <w:sz w:val="16"/>
          <w:szCs w:val="16"/>
        </w:rPr>
      </w:pPr>
      <w:r>
        <w:rPr>
          <w:rStyle w:val="FootnoteReference"/>
        </w:rPr>
        <w:footnoteRef/>
      </w:r>
      <w:r>
        <w:t xml:space="preserve"> </w:t>
      </w:r>
      <w:hyperlink r:id="rId1" w:history="1">
        <w:r w:rsidRPr="006332DD">
          <w:rPr>
            <w:rStyle w:val="Hyperlink"/>
            <w:sz w:val="16"/>
            <w:szCs w:val="16"/>
          </w:rPr>
          <w:t>https://www.parliament.uk/business/committees/committees-a-z/commons-select/housing-communities-and-local-government-committee/inquiries/parliament-2017/inquiry18/</w:t>
        </w:r>
      </w:hyperlink>
    </w:p>
    <w:p w:rsidR="006332DD" w:rsidRDefault="006332DD">
      <w:pPr>
        <w:pStyle w:val="FootnoteText"/>
      </w:pPr>
    </w:p>
  </w:footnote>
  <w:footnote w:id="9">
    <w:p w:rsidR="00AB44C0" w:rsidRDefault="00AB44C0">
      <w:pPr>
        <w:pStyle w:val="FootnoteText"/>
      </w:pPr>
      <w:r>
        <w:rPr>
          <w:rStyle w:val="FootnoteReference"/>
        </w:rPr>
        <w:footnoteRef/>
      </w:r>
      <w:r>
        <w:t xml:space="preserve"> Excluding schools</w:t>
      </w:r>
    </w:p>
  </w:footnote>
  <w:footnote w:id="10">
    <w:p w:rsidR="00BD6D52" w:rsidRDefault="00BD6D52">
      <w:pPr>
        <w:pStyle w:val="FootnoteText"/>
      </w:pPr>
      <w:r>
        <w:rPr>
          <w:rStyle w:val="FootnoteReference"/>
        </w:rPr>
        <w:footnoteRef/>
      </w:r>
      <w:r>
        <w:t xml:space="preserve"> </w:t>
      </w:r>
      <w:r w:rsidR="00E530CE">
        <w:rPr>
          <w:sz w:val="18"/>
          <w:szCs w:val="18"/>
        </w:rPr>
        <w:t>Adult C</w:t>
      </w:r>
      <w:r w:rsidRPr="00E530CE">
        <w:rPr>
          <w:sz w:val="18"/>
          <w:szCs w:val="18"/>
        </w:rPr>
        <w:t>are at 10-11 £15,847m at 16-17 £14,914m;Children’s</w:t>
      </w:r>
      <w:r w:rsidR="00E530CE" w:rsidRPr="00E530CE">
        <w:rPr>
          <w:sz w:val="18"/>
          <w:szCs w:val="18"/>
        </w:rPr>
        <w:t xml:space="preserve"> at 10-11 £7,319 at 16-17 £7,556</w:t>
      </w:r>
      <w:r w:rsidR="00E530CE">
        <w:rPr>
          <w:sz w:val="18"/>
          <w:szCs w:val="18"/>
        </w:rPr>
        <w:t>; at 16-17 prices</w:t>
      </w:r>
    </w:p>
  </w:footnote>
  <w:footnote w:id="11">
    <w:p w:rsidR="00E45D79" w:rsidRDefault="00E45D79">
      <w:pPr>
        <w:pStyle w:val="FootnoteText"/>
      </w:pPr>
      <w:r>
        <w:rPr>
          <w:rStyle w:val="FootnoteReference"/>
        </w:rPr>
        <w:footnoteRef/>
      </w:r>
      <w:r>
        <w:t xml:space="preserve"> </w:t>
      </w:r>
      <w:hyperlink r:id="rId2" w:history="1">
        <w:r w:rsidRPr="00E45D79">
          <w:rPr>
            <w:color w:val="0000FF"/>
            <w:sz w:val="16"/>
            <w:szCs w:val="16"/>
            <w:u w:val="single"/>
          </w:rPr>
          <w:t>https://www.sigoma.gov.uk/__documents/No-Investment-No-Future.pdf</w:t>
        </w:r>
      </w:hyperlink>
    </w:p>
  </w:footnote>
  <w:footnote w:id="12">
    <w:p w:rsidR="003C06FC" w:rsidRDefault="003C06FC">
      <w:pPr>
        <w:pStyle w:val="FootnoteText"/>
      </w:pPr>
      <w:r>
        <w:rPr>
          <w:rStyle w:val="FootnoteReference"/>
        </w:rPr>
        <w:footnoteRef/>
      </w:r>
      <w:r>
        <w:t xml:space="preserve"> </w:t>
      </w:r>
      <w:r w:rsidRPr="003C06FC">
        <w:t>https://www.adass.org.uk/adass-responds-to-carers-uk-report-carers-at-breaking-point</w:t>
      </w:r>
    </w:p>
  </w:footnote>
  <w:footnote w:id="13">
    <w:p w:rsidR="005E2B02" w:rsidRDefault="005E2B02">
      <w:pPr>
        <w:pStyle w:val="FootnoteText"/>
      </w:pPr>
      <w:r>
        <w:rPr>
          <w:rStyle w:val="FootnoteReference"/>
        </w:rPr>
        <w:footnoteRef/>
      </w:r>
      <w:r>
        <w:t xml:space="preserve"> </w:t>
      </w:r>
      <w:r w:rsidRPr="005E2B02">
        <w:t>https://www.thirdsector.co.uk/half-social-care-providers-handing-contracts-back-local-authorities/finance/article/1525528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4A" w:rsidRDefault="00310A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4A" w:rsidRDefault="00310A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4A" w:rsidRDefault="00310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BE2"/>
    <w:multiLevelType w:val="hybridMultilevel"/>
    <w:tmpl w:val="3852F79A"/>
    <w:lvl w:ilvl="0" w:tplc="C02E34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DD506D"/>
    <w:multiLevelType w:val="hybridMultilevel"/>
    <w:tmpl w:val="7E5ADB36"/>
    <w:lvl w:ilvl="0" w:tplc="BBC8879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AC66E9"/>
    <w:multiLevelType w:val="hybridMultilevel"/>
    <w:tmpl w:val="8E90C7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90448C"/>
    <w:multiLevelType w:val="multilevel"/>
    <w:tmpl w:val="0809001F"/>
    <w:lvl w:ilvl="0">
      <w:start w:val="1"/>
      <w:numFmt w:val="decimal"/>
      <w:lvlText w:val="%1."/>
      <w:lvlJc w:val="left"/>
      <w:pPr>
        <w:ind w:left="360" w:hanging="360"/>
      </w:p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68844C9"/>
    <w:multiLevelType w:val="hybridMultilevel"/>
    <w:tmpl w:val="1E76DD0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A4281D"/>
    <w:multiLevelType w:val="hybridMultilevel"/>
    <w:tmpl w:val="493CF5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3F2DC5"/>
    <w:multiLevelType w:val="hybridMultilevel"/>
    <w:tmpl w:val="592A17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A666D9"/>
    <w:multiLevelType w:val="hybridMultilevel"/>
    <w:tmpl w:val="CDC6CC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C83ACA"/>
    <w:multiLevelType w:val="hybridMultilevel"/>
    <w:tmpl w:val="43F6AD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5E4287"/>
    <w:multiLevelType w:val="multilevel"/>
    <w:tmpl w:val="0809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471C10"/>
    <w:multiLevelType w:val="hybridMultilevel"/>
    <w:tmpl w:val="70A287E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5787D6C"/>
    <w:multiLevelType w:val="hybridMultilevel"/>
    <w:tmpl w:val="C386946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BB265AD"/>
    <w:multiLevelType w:val="hybridMultilevel"/>
    <w:tmpl w:val="C6F8D2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FD057D2"/>
    <w:multiLevelType w:val="hybridMultilevel"/>
    <w:tmpl w:val="F7F28078"/>
    <w:lvl w:ilvl="0" w:tplc="4E100E9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3"/>
  </w:num>
  <w:num w:numId="4">
    <w:abstractNumId w:val="2"/>
  </w:num>
  <w:num w:numId="5">
    <w:abstractNumId w:val="13"/>
  </w:num>
  <w:num w:numId="6">
    <w:abstractNumId w:val="1"/>
  </w:num>
  <w:num w:numId="7">
    <w:abstractNumId w:val="0"/>
  </w:num>
  <w:num w:numId="8">
    <w:abstractNumId w:val="6"/>
  </w:num>
  <w:num w:numId="9">
    <w:abstractNumId w:val="4"/>
  </w:num>
  <w:num w:numId="10">
    <w:abstractNumId w:val="10"/>
  </w:num>
  <w:num w:numId="11">
    <w:abstractNumId w:val="11"/>
  </w:num>
  <w:num w:numId="12">
    <w:abstractNumId w:val="7"/>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78"/>
    <w:rsid w:val="0000619F"/>
    <w:rsid w:val="000141E0"/>
    <w:rsid w:val="000208FA"/>
    <w:rsid w:val="00027764"/>
    <w:rsid w:val="00050418"/>
    <w:rsid w:val="00074C27"/>
    <w:rsid w:val="00083BFD"/>
    <w:rsid w:val="00092EC9"/>
    <w:rsid w:val="000A0527"/>
    <w:rsid w:val="000A2536"/>
    <w:rsid w:val="000A7EE4"/>
    <w:rsid w:val="000B11B6"/>
    <w:rsid w:val="000D4B46"/>
    <w:rsid w:val="000D7012"/>
    <w:rsid w:val="000E2DBA"/>
    <w:rsid w:val="000E5B6C"/>
    <w:rsid w:val="000E779E"/>
    <w:rsid w:val="000F17CC"/>
    <w:rsid w:val="000F37AA"/>
    <w:rsid w:val="000F57E2"/>
    <w:rsid w:val="0010530C"/>
    <w:rsid w:val="0010758D"/>
    <w:rsid w:val="00110213"/>
    <w:rsid w:val="00133B00"/>
    <w:rsid w:val="00135E34"/>
    <w:rsid w:val="0015007C"/>
    <w:rsid w:val="00162EA9"/>
    <w:rsid w:val="0016442C"/>
    <w:rsid w:val="00164E75"/>
    <w:rsid w:val="001764DE"/>
    <w:rsid w:val="00177FDA"/>
    <w:rsid w:val="00185288"/>
    <w:rsid w:val="001B0DC6"/>
    <w:rsid w:val="001B201E"/>
    <w:rsid w:val="001D066E"/>
    <w:rsid w:val="001D10D3"/>
    <w:rsid w:val="001D4A44"/>
    <w:rsid w:val="001E505A"/>
    <w:rsid w:val="001F1EA3"/>
    <w:rsid w:val="0021109C"/>
    <w:rsid w:val="00217DDB"/>
    <w:rsid w:val="00234E8B"/>
    <w:rsid w:val="0023755F"/>
    <w:rsid w:val="00246CD6"/>
    <w:rsid w:val="00255353"/>
    <w:rsid w:val="00261B74"/>
    <w:rsid w:val="0026589F"/>
    <w:rsid w:val="00266278"/>
    <w:rsid w:val="00276E55"/>
    <w:rsid w:val="00280387"/>
    <w:rsid w:val="00280DB7"/>
    <w:rsid w:val="002853D8"/>
    <w:rsid w:val="00292FFD"/>
    <w:rsid w:val="002A3594"/>
    <w:rsid w:val="002A60E7"/>
    <w:rsid w:val="002B2302"/>
    <w:rsid w:val="002B35E0"/>
    <w:rsid w:val="002C6CD3"/>
    <w:rsid w:val="002D2042"/>
    <w:rsid w:val="002E587F"/>
    <w:rsid w:val="00310322"/>
    <w:rsid w:val="00310A4A"/>
    <w:rsid w:val="00315D98"/>
    <w:rsid w:val="00320D3F"/>
    <w:rsid w:val="00351AE6"/>
    <w:rsid w:val="00352E8E"/>
    <w:rsid w:val="00353AB9"/>
    <w:rsid w:val="003578F7"/>
    <w:rsid w:val="00365F4F"/>
    <w:rsid w:val="00376416"/>
    <w:rsid w:val="0038361C"/>
    <w:rsid w:val="003970E5"/>
    <w:rsid w:val="003A1B6E"/>
    <w:rsid w:val="003A4925"/>
    <w:rsid w:val="003A76E9"/>
    <w:rsid w:val="003C06FC"/>
    <w:rsid w:val="003E3696"/>
    <w:rsid w:val="003E46B6"/>
    <w:rsid w:val="003E66C5"/>
    <w:rsid w:val="003F1B91"/>
    <w:rsid w:val="003F2052"/>
    <w:rsid w:val="003F691B"/>
    <w:rsid w:val="00401F3C"/>
    <w:rsid w:val="004120FE"/>
    <w:rsid w:val="00415603"/>
    <w:rsid w:val="0042081F"/>
    <w:rsid w:val="00426736"/>
    <w:rsid w:val="00427114"/>
    <w:rsid w:val="00431904"/>
    <w:rsid w:val="004332A1"/>
    <w:rsid w:val="0043331D"/>
    <w:rsid w:val="00446736"/>
    <w:rsid w:val="00454A18"/>
    <w:rsid w:val="00455F7D"/>
    <w:rsid w:val="004614C4"/>
    <w:rsid w:val="00471921"/>
    <w:rsid w:val="004A1F30"/>
    <w:rsid w:val="004A62FE"/>
    <w:rsid w:val="004B0F73"/>
    <w:rsid w:val="004B36BA"/>
    <w:rsid w:val="004E0B83"/>
    <w:rsid w:val="004E3397"/>
    <w:rsid w:val="004E7A00"/>
    <w:rsid w:val="00513C7F"/>
    <w:rsid w:val="00517555"/>
    <w:rsid w:val="00517C4B"/>
    <w:rsid w:val="00534804"/>
    <w:rsid w:val="0053534A"/>
    <w:rsid w:val="00541993"/>
    <w:rsid w:val="0054344D"/>
    <w:rsid w:val="005462BC"/>
    <w:rsid w:val="0055251B"/>
    <w:rsid w:val="005710A0"/>
    <w:rsid w:val="005A0321"/>
    <w:rsid w:val="005A284A"/>
    <w:rsid w:val="005A78B1"/>
    <w:rsid w:val="005B172D"/>
    <w:rsid w:val="005B1F6D"/>
    <w:rsid w:val="005D0C7B"/>
    <w:rsid w:val="005E2B02"/>
    <w:rsid w:val="005F023E"/>
    <w:rsid w:val="00617D70"/>
    <w:rsid w:val="00623026"/>
    <w:rsid w:val="00624365"/>
    <w:rsid w:val="00625089"/>
    <w:rsid w:val="006332DD"/>
    <w:rsid w:val="0063603E"/>
    <w:rsid w:val="00636F5A"/>
    <w:rsid w:val="0064594E"/>
    <w:rsid w:val="006544B6"/>
    <w:rsid w:val="00655E5A"/>
    <w:rsid w:val="0065731C"/>
    <w:rsid w:val="006606CC"/>
    <w:rsid w:val="00686400"/>
    <w:rsid w:val="00695461"/>
    <w:rsid w:val="00696C42"/>
    <w:rsid w:val="006B1EC8"/>
    <w:rsid w:val="006B493C"/>
    <w:rsid w:val="006B71A6"/>
    <w:rsid w:val="006B7D17"/>
    <w:rsid w:val="006C3693"/>
    <w:rsid w:val="006D077D"/>
    <w:rsid w:val="006D1A14"/>
    <w:rsid w:val="006D5D3E"/>
    <w:rsid w:val="006F1D83"/>
    <w:rsid w:val="006F3D8D"/>
    <w:rsid w:val="006F6300"/>
    <w:rsid w:val="00701DFD"/>
    <w:rsid w:val="0071339D"/>
    <w:rsid w:val="0073782B"/>
    <w:rsid w:val="0075051C"/>
    <w:rsid w:val="007520D6"/>
    <w:rsid w:val="00753589"/>
    <w:rsid w:val="00760591"/>
    <w:rsid w:val="00765094"/>
    <w:rsid w:val="00766C34"/>
    <w:rsid w:val="007721C5"/>
    <w:rsid w:val="00777ADC"/>
    <w:rsid w:val="0079023F"/>
    <w:rsid w:val="0079231C"/>
    <w:rsid w:val="007C26F4"/>
    <w:rsid w:val="007D1F62"/>
    <w:rsid w:val="007E592C"/>
    <w:rsid w:val="007F68D4"/>
    <w:rsid w:val="00801064"/>
    <w:rsid w:val="008136F0"/>
    <w:rsid w:val="008160C9"/>
    <w:rsid w:val="00816CD0"/>
    <w:rsid w:val="00817018"/>
    <w:rsid w:val="00821440"/>
    <w:rsid w:val="00821777"/>
    <w:rsid w:val="0082645B"/>
    <w:rsid w:val="00834904"/>
    <w:rsid w:val="0085767D"/>
    <w:rsid w:val="00860F83"/>
    <w:rsid w:val="00864A7F"/>
    <w:rsid w:val="00872017"/>
    <w:rsid w:val="00877DDF"/>
    <w:rsid w:val="00881F06"/>
    <w:rsid w:val="008A6B66"/>
    <w:rsid w:val="008A79B6"/>
    <w:rsid w:val="008C5332"/>
    <w:rsid w:val="008C7DE5"/>
    <w:rsid w:val="00912A32"/>
    <w:rsid w:val="00922867"/>
    <w:rsid w:val="00930CB8"/>
    <w:rsid w:val="00930E22"/>
    <w:rsid w:val="00933FA0"/>
    <w:rsid w:val="00941B8D"/>
    <w:rsid w:val="00957DA8"/>
    <w:rsid w:val="00961085"/>
    <w:rsid w:val="009675A2"/>
    <w:rsid w:val="00983336"/>
    <w:rsid w:val="00984D8D"/>
    <w:rsid w:val="009920F1"/>
    <w:rsid w:val="0099446E"/>
    <w:rsid w:val="0099737E"/>
    <w:rsid w:val="009C37FC"/>
    <w:rsid w:val="009D6F45"/>
    <w:rsid w:val="009E5022"/>
    <w:rsid w:val="009E64EB"/>
    <w:rsid w:val="009E7E11"/>
    <w:rsid w:val="009F0D52"/>
    <w:rsid w:val="009F16BC"/>
    <w:rsid w:val="009F2AA3"/>
    <w:rsid w:val="009F71F8"/>
    <w:rsid w:val="00A02BEC"/>
    <w:rsid w:val="00A02CF7"/>
    <w:rsid w:val="00A1145E"/>
    <w:rsid w:val="00A30C76"/>
    <w:rsid w:val="00A3288E"/>
    <w:rsid w:val="00A33DA3"/>
    <w:rsid w:val="00A3452C"/>
    <w:rsid w:val="00A34C99"/>
    <w:rsid w:val="00A56FC3"/>
    <w:rsid w:val="00A71027"/>
    <w:rsid w:val="00A777FB"/>
    <w:rsid w:val="00A80829"/>
    <w:rsid w:val="00A9480C"/>
    <w:rsid w:val="00A9796B"/>
    <w:rsid w:val="00AA55C2"/>
    <w:rsid w:val="00AA5622"/>
    <w:rsid w:val="00AA5EBB"/>
    <w:rsid w:val="00AB44C0"/>
    <w:rsid w:val="00AB6800"/>
    <w:rsid w:val="00AC4EEC"/>
    <w:rsid w:val="00AD3D25"/>
    <w:rsid w:val="00AE58B5"/>
    <w:rsid w:val="00AE62EB"/>
    <w:rsid w:val="00B01E91"/>
    <w:rsid w:val="00B1203A"/>
    <w:rsid w:val="00B315F1"/>
    <w:rsid w:val="00B367CE"/>
    <w:rsid w:val="00B44630"/>
    <w:rsid w:val="00B47D08"/>
    <w:rsid w:val="00B54396"/>
    <w:rsid w:val="00B54416"/>
    <w:rsid w:val="00B5783D"/>
    <w:rsid w:val="00B622F4"/>
    <w:rsid w:val="00B67AB5"/>
    <w:rsid w:val="00B7218A"/>
    <w:rsid w:val="00B73599"/>
    <w:rsid w:val="00B76228"/>
    <w:rsid w:val="00B7790B"/>
    <w:rsid w:val="00B875ED"/>
    <w:rsid w:val="00B935B5"/>
    <w:rsid w:val="00B9438C"/>
    <w:rsid w:val="00B94C6E"/>
    <w:rsid w:val="00BA46D9"/>
    <w:rsid w:val="00BB50D3"/>
    <w:rsid w:val="00BB6C45"/>
    <w:rsid w:val="00BB7685"/>
    <w:rsid w:val="00BC071B"/>
    <w:rsid w:val="00BD339F"/>
    <w:rsid w:val="00BD6D52"/>
    <w:rsid w:val="00BE6208"/>
    <w:rsid w:val="00C023B9"/>
    <w:rsid w:val="00C05790"/>
    <w:rsid w:val="00C21558"/>
    <w:rsid w:val="00C2425C"/>
    <w:rsid w:val="00C47792"/>
    <w:rsid w:val="00C50857"/>
    <w:rsid w:val="00C762E2"/>
    <w:rsid w:val="00C86773"/>
    <w:rsid w:val="00C92439"/>
    <w:rsid w:val="00C97C4F"/>
    <w:rsid w:val="00CA1B4F"/>
    <w:rsid w:val="00CA587B"/>
    <w:rsid w:val="00CC3C05"/>
    <w:rsid w:val="00CC3ED6"/>
    <w:rsid w:val="00CD50C0"/>
    <w:rsid w:val="00CE4BF0"/>
    <w:rsid w:val="00D27F66"/>
    <w:rsid w:val="00D43718"/>
    <w:rsid w:val="00D56718"/>
    <w:rsid w:val="00D70945"/>
    <w:rsid w:val="00D80AE2"/>
    <w:rsid w:val="00D97B4B"/>
    <w:rsid w:val="00DA03E6"/>
    <w:rsid w:val="00DB31DB"/>
    <w:rsid w:val="00DD360D"/>
    <w:rsid w:val="00DE0165"/>
    <w:rsid w:val="00DE24BA"/>
    <w:rsid w:val="00DE4385"/>
    <w:rsid w:val="00E03315"/>
    <w:rsid w:val="00E04F83"/>
    <w:rsid w:val="00E17345"/>
    <w:rsid w:val="00E264ED"/>
    <w:rsid w:val="00E369A4"/>
    <w:rsid w:val="00E43F77"/>
    <w:rsid w:val="00E45D79"/>
    <w:rsid w:val="00E47949"/>
    <w:rsid w:val="00E530CE"/>
    <w:rsid w:val="00E81493"/>
    <w:rsid w:val="00EA4C41"/>
    <w:rsid w:val="00EB3A7E"/>
    <w:rsid w:val="00EB4956"/>
    <w:rsid w:val="00EC00DD"/>
    <w:rsid w:val="00EE6659"/>
    <w:rsid w:val="00F05FB9"/>
    <w:rsid w:val="00F0713A"/>
    <w:rsid w:val="00F147F1"/>
    <w:rsid w:val="00F25102"/>
    <w:rsid w:val="00F263F1"/>
    <w:rsid w:val="00F336C6"/>
    <w:rsid w:val="00F35EDB"/>
    <w:rsid w:val="00F50197"/>
    <w:rsid w:val="00F54949"/>
    <w:rsid w:val="00F57399"/>
    <w:rsid w:val="00F57F9B"/>
    <w:rsid w:val="00F61684"/>
    <w:rsid w:val="00F61EAB"/>
    <w:rsid w:val="00F66B72"/>
    <w:rsid w:val="00F7280C"/>
    <w:rsid w:val="00F8774A"/>
    <w:rsid w:val="00F87855"/>
    <w:rsid w:val="00F935B8"/>
    <w:rsid w:val="00F94111"/>
    <w:rsid w:val="00FA5C57"/>
    <w:rsid w:val="00FB1096"/>
    <w:rsid w:val="00FB1175"/>
    <w:rsid w:val="00FE2A30"/>
    <w:rsid w:val="00FF3C9B"/>
    <w:rsid w:val="00FF4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B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9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993"/>
    <w:rPr>
      <w:rFonts w:ascii="Tahoma" w:hAnsi="Tahoma" w:cs="Tahoma"/>
      <w:sz w:val="16"/>
      <w:szCs w:val="16"/>
    </w:rPr>
  </w:style>
  <w:style w:type="paragraph" w:styleId="ListParagraph">
    <w:name w:val="List Paragraph"/>
    <w:basedOn w:val="Normal"/>
    <w:uiPriority w:val="34"/>
    <w:qFormat/>
    <w:rsid w:val="002B35E0"/>
    <w:pPr>
      <w:ind w:left="720"/>
      <w:contextualSpacing/>
    </w:pPr>
  </w:style>
  <w:style w:type="paragraph" w:styleId="FootnoteText">
    <w:name w:val="footnote text"/>
    <w:basedOn w:val="Normal"/>
    <w:link w:val="FootnoteTextChar"/>
    <w:uiPriority w:val="99"/>
    <w:semiHidden/>
    <w:unhideWhenUsed/>
    <w:rsid w:val="00C2425C"/>
    <w:pPr>
      <w:spacing w:line="240" w:lineRule="auto"/>
    </w:pPr>
    <w:rPr>
      <w:sz w:val="20"/>
      <w:szCs w:val="20"/>
    </w:rPr>
  </w:style>
  <w:style w:type="character" w:customStyle="1" w:styleId="FootnoteTextChar">
    <w:name w:val="Footnote Text Char"/>
    <w:basedOn w:val="DefaultParagraphFont"/>
    <w:link w:val="FootnoteText"/>
    <w:uiPriority w:val="99"/>
    <w:semiHidden/>
    <w:rsid w:val="00C2425C"/>
    <w:rPr>
      <w:sz w:val="20"/>
      <w:szCs w:val="20"/>
    </w:rPr>
  </w:style>
  <w:style w:type="character" w:styleId="FootnoteReference">
    <w:name w:val="footnote reference"/>
    <w:basedOn w:val="DefaultParagraphFont"/>
    <w:uiPriority w:val="99"/>
    <w:semiHidden/>
    <w:unhideWhenUsed/>
    <w:rsid w:val="00C2425C"/>
    <w:rPr>
      <w:vertAlign w:val="superscript"/>
    </w:rPr>
  </w:style>
  <w:style w:type="character" w:styleId="CommentReference">
    <w:name w:val="annotation reference"/>
    <w:basedOn w:val="DefaultParagraphFont"/>
    <w:uiPriority w:val="99"/>
    <w:semiHidden/>
    <w:unhideWhenUsed/>
    <w:rsid w:val="00A30C76"/>
    <w:rPr>
      <w:sz w:val="16"/>
      <w:szCs w:val="16"/>
    </w:rPr>
  </w:style>
  <w:style w:type="paragraph" w:styleId="CommentText">
    <w:name w:val="annotation text"/>
    <w:basedOn w:val="Normal"/>
    <w:link w:val="CommentTextChar"/>
    <w:uiPriority w:val="99"/>
    <w:semiHidden/>
    <w:unhideWhenUsed/>
    <w:rsid w:val="00A30C76"/>
    <w:pPr>
      <w:spacing w:line="240" w:lineRule="auto"/>
    </w:pPr>
    <w:rPr>
      <w:sz w:val="20"/>
      <w:szCs w:val="20"/>
    </w:rPr>
  </w:style>
  <w:style w:type="character" w:customStyle="1" w:styleId="CommentTextChar">
    <w:name w:val="Comment Text Char"/>
    <w:basedOn w:val="DefaultParagraphFont"/>
    <w:link w:val="CommentText"/>
    <w:uiPriority w:val="99"/>
    <w:semiHidden/>
    <w:rsid w:val="00A30C76"/>
    <w:rPr>
      <w:sz w:val="20"/>
      <w:szCs w:val="20"/>
    </w:rPr>
  </w:style>
  <w:style w:type="paragraph" w:styleId="CommentSubject">
    <w:name w:val="annotation subject"/>
    <w:basedOn w:val="CommentText"/>
    <w:next w:val="CommentText"/>
    <w:link w:val="CommentSubjectChar"/>
    <w:uiPriority w:val="99"/>
    <w:semiHidden/>
    <w:unhideWhenUsed/>
    <w:rsid w:val="00A30C76"/>
    <w:rPr>
      <w:b/>
      <w:bCs/>
    </w:rPr>
  </w:style>
  <w:style w:type="character" w:customStyle="1" w:styleId="CommentSubjectChar">
    <w:name w:val="Comment Subject Char"/>
    <w:basedOn w:val="CommentTextChar"/>
    <w:link w:val="CommentSubject"/>
    <w:uiPriority w:val="99"/>
    <w:semiHidden/>
    <w:rsid w:val="00A30C76"/>
    <w:rPr>
      <w:b/>
      <w:bCs/>
      <w:sz w:val="20"/>
      <w:szCs w:val="20"/>
    </w:rPr>
  </w:style>
  <w:style w:type="paragraph" w:styleId="Revision">
    <w:name w:val="Revision"/>
    <w:hidden/>
    <w:uiPriority w:val="99"/>
    <w:semiHidden/>
    <w:rsid w:val="00A3452C"/>
    <w:pPr>
      <w:spacing w:after="0" w:line="240" w:lineRule="auto"/>
    </w:pPr>
  </w:style>
  <w:style w:type="paragraph" w:styleId="Header">
    <w:name w:val="header"/>
    <w:basedOn w:val="Normal"/>
    <w:link w:val="HeaderChar"/>
    <w:uiPriority w:val="99"/>
    <w:unhideWhenUsed/>
    <w:rsid w:val="005A0321"/>
    <w:pPr>
      <w:tabs>
        <w:tab w:val="center" w:pos="4513"/>
        <w:tab w:val="right" w:pos="9026"/>
      </w:tabs>
      <w:spacing w:line="240" w:lineRule="auto"/>
    </w:pPr>
  </w:style>
  <w:style w:type="character" w:customStyle="1" w:styleId="HeaderChar">
    <w:name w:val="Header Char"/>
    <w:basedOn w:val="DefaultParagraphFont"/>
    <w:link w:val="Header"/>
    <w:uiPriority w:val="99"/>
    <w:rsid w:val="005A0321"/>
  </w:style>
  <w:style w:type="paragraph" w:styleId="Footer">
    <w:name w:val="footer"/>
    <w:basedOn w:val="Normal"/>
    <w:link w:val="FooterChar"/>
    <w:uiPriority w:val="99"/>
    <w:unhideWhenUsed/>
    <w:rsid w:val="005A0321"/>
    <w:pPr>
      <w:tabs>
        <w:tab w:val="center" w:pos="4513"/>
        <w:tab w:val="right" w:pos="9026"/>
      </w:tabs>
      <w:spacing w:line="240" w:lineRule="auto"/>
    </w:pPr>
  </w:style>
  <w:style w:type="character" w:customStyle="1" w:styleId="FooterChar">
    <w:name w:val="Footer Char"/>
    <w:basedOn w:val="DefaultParagraphFont"/>
    <w:link w:val="Footer"/>
    <w:uiPriority w:val="99"/>
    <w:rsid w:val="005A0321"/>
  </w:style>
  <w:style w:type="character" w:styleId="Hyperlink">
    <w:name w:val="Hyperlink"/>
    <w:basedOn w:val="DefaultParagraphFont"/>
    <w:uiPriority w:val="99"/>
    <w:unhideWhenUsed/>
    <w:rsid w:val="00E369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B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9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993"/>
    <w:rPr>
      <w:rFonts w:ascii="Tahoma" w:hAnsi="Tahoma" w:cs="Tahoma"/>
      <w:sz w:val="16"/>
      <w:szCs w:val="16"/>
    </w:rPr>
  </w:style>
  <w:style w:type="paragraph" w:styleId="ListParagraph">
    <w:name w:val="List Paragraph"/>
    <w:basedOn w:val="Normal"/>
    <w:uiPriority w:val="34"/>
    <w:qFormat/>
    <w:rsid w:val="002B35E0"/>
    <w:pPr>
      <w:ind w:left="720"/>
      <w:contextualSpacing/>
    </w:pPr>
  </w:style>
  <w:style w:type="paragraph" w:styleId="FootnoteText">
    <w:name w:val="footnote text"/>
    <w:basedOn w:val="Normal"/>
    <w:link w:val="FootnoteTextChar"/>
    <w:uiPriority w:val="99"/>
    <w:semiHidden/>
    <w:unhideWhenUsed/>
    <w:rsid w:val="00C2425C"/>
    <w:pPr>
      <w:spacing w:line="240" w:lineRule="auto"/>
    </w:pPr>
    <w:rPr>
      <w:sz w:val="20"/>
      <w:szCs w:val="20"/>
    </w:rPr>
  </w:style>
  <w:style w:type="character" w:customStyle="1" w:styleId="FootnoteTextChar">
    <w:name w:val="Footnote Text Char"/>
    <w:basedOn w:val="DefaultParagraphFont"/>
    <w:link w:val="FootnoteText"/>
    <w:uiPriority w:val="99"/>
    <w:semiHidden/>
    <w:rsid w:val="00C2425C"/>
    <w:rPr>
      <w:sz w:val="20"/>
      <w:szCs w:val="20"/>
    </w:rPr>
  </w:style>
  <w:style w:type="character" w:styleId="FootnoteReference">
    <w:name w:val="footnote reference"/>
    <w:basedOn w:val="DefaultParagraphFont"/>
    <w:uiPriority w:val="99"/>
    <w:semiHidden/>
    <w:unhideWhenUsed/>
    <w:rsid w:val="00C2425C"/>
    <w:rPr>
      <w:vertAlign w:val="superscript"/>
    </w:rPr>
  </w:style>
  <w:style w:type="character" w:styleId="CommentReference">
    <w:name w:val="annotation reference"/>
    <w:basedOn w:val="DefaultParagraphFont"/>
    <w:uiPriority w:val="99"/>
    <w:semiHidden/>
    <w:unhideWhenUsed/>
    <w:rsid w:val="00A30C76"/>
    <w:rPr>
      <w:sz w:val="16"/>
      <w:szCs w:val="16"/>
    </w:rPr>
  </w:style>
  <w:style w:type="paragraph" w:styleId="CommentText">
    <w:name w:val="annotation text"/>
    <w:basedOn w:val="Normal"/>
    <w:link w:val="CommentTextChar"/>
    <w:uiPriority w:val="99"/>
    <w:semiHidden/>
    <w:unhideWhenUsed/>
    <w:rsid w:val="00A30C76"/>
    <w:pPr>
      <w:spacing w:line="240" w:lineRule="auto"/>
    </w:pPr>
    <w:rPr>
      <w:sz w:val="20"/>
      <w:szCs w:val="20"/>
    </w:rPr>
  </w:style>
  <w:style w:type="character" w:customStyle="1" w:styleId="CommentTextChar">
    <w:name w:val="Comment Text Char"/>
    <w:basedOn w:val="DefaultParagraphFont"/>
    <w:link w:val="CommentText"/>
    <w:uiPriority w:val="99"/>
    <w:semiHidden/>
    <w:rsid w:val="00A30C76"/>
    <w:rPr>
      <w:sz w:val="20"/>
      <w:szCs w:val="20"/>
    </w:rPr>
  </w:style>
  <w:style w:type="paragraph" w:styleId="CommentSubject">
    <w:name w:val="annotation subject"/>
    <w:basedOn w:val="CommentText"/>
    <w:next w:val="CommentText"/>
    <w:link w:val="CommentSubjectChar"/>
    <w:uiPriority w:val="99"/>
    <w:semiHidden/>
    <w:unhideWhenUsed/>
    <w:rsid w:val="00A30C76"/>
    <w:rPr>
      <w:b/>
      <w:bCs/>
    </w:rPr>
  </w:style>
  <w:style w:type="character" w:customStyle="1" w:styleId="CommentSubjectChar">
    <w:name w:val="Comment Subject Char"/>
    <w:basedOn w:val="CommentTextChar"/>
    <w:link w:val="CommentSubject"/>
    <w:uiPriority w:val="99"/>
    <w:semiHidden/>
    <w:rsid w:val="00A30C76"/>
    <w:rPr>
      <w:b/>
      <w:bCs/>
      <w:sz w:val="20"/>
      <w:szCs w:val="20"/>
    </w:rPr>
  </w:style>
  <w:style w:type="paragraph" w:styleId="Revision">
    <w:name w:val="Revision"/>
    <w:hidden/>
    <w:uiPriority w:val="99"/>
    <w:semiHidden/>
    <w:rsid w:val="00A3452C"/>
    <w:pPr>
      <w:spacing w:after="0" w:line="240" w:lineRule="auto"/>
    </w:pPr>
  </w:style>
  <w:style w:type="paragraph" w:styleId="Header">
    <w:name w:val="header"/>
    <w:basedOn w:val="Normal"/>
    <w:link w:val="HeaderChar"/>
    <w:uiPriority w:val="99"/>
    <w:unhideWhenUsed/>
    <w:rsid w:val="005A0321"/>
    <w:pPr>
      <w:tabs>
        <w:tab w:val="center" w:pos="4513"/>
        <w:tab w:val="right" w:pos="9026"/>
      </w:tabs>
      <w:spacing w:line="240" w:lineRule="auto"/>
    </w:pPr>
  </w:style>
  <w:style w:type="character" w:customStyle="1" w:styleId="HeaderChar">
    <w:name w:val="Header Char"/>
    <w:basedOn w:val="DefaultParagraphFont"/>
    <w:link w:val="Header"/>
    <w:uiPriority w:val="99"/>
    <w:rsid w:val="005A0321"/>
  </w:style>
  <w:style w:type="paragraph" w:styleId="Footer">
    <w:name w:val="footer"/>
    <w:basedOn w:val="Normal"/>
    <w:link w:val="FooterChar"/>
    <w:uiPriority w:val="99"/>
    <w:unhideWhenUsed/>
    <w:rsid w:val="005A0321"/>
    <w:pPr>
      <w:tabs>
        <w:tab w:val="center" w:pos="4513"/>
        <w:tab w:val="right" w:pos="9026"/>
      </w:tabs>
      <w:spacing w:line="240" w:lineRule="auto"/>
    </w:pPr>
  </w:style>
  <w:style w:type="character" w:customStyle="1" w:styleId="FooterChar">
    <w:name w:val="Footer Char"/>
    <w:basedOn w:val="DefaultParagraphFont"/>
    <w:link w:val="Footer"/>
    <w:uiPriority w:val="99"/>
    <w:rsid w:val="005A0321"/>
  </w:style>
  <w:style w:type="character" w:styleId="Hyperlink">
    <w:name w:val="Hyperlink"/>
    <w:basedOn w:val="DefaultParagraphFont"/>
    <w:uiPriority w:val="99"/>
    <w:unhideWhenUsed/>
    <w:rsid w:val="00E369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5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assets.publishing.service.gov.uk/government/uploads/system/uploads/attachment_data/file/598252/EN_FINAL.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nao.org.uk/other/financial-sustainability-of-local-authorities-2018-visualisatio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igoma.gov.uk/__documents/No-Investment-No-Future.pdf" TargetMode="External"/><Relationship Id="rId1" Type="http://schemas.openxmlformats.org/officeDocument/2006/relationships/hyperlink" Target="https://www.parliament.uk/business/committees/committees-a-z/commons-select/housing-communities-and-local-government-committee/inquiries/parliament-2017/inquiry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3B322-8FFD-4472-9F31-5EF012D2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20068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Winterbottom , Geoffrey</dc:creator>
  <cp:lastModifiedBy>Winterbottom , Geoff</cp:lastModifiedBy>
  <cp:revision>3</cp:revision>
  <cp:lastPrinted>2020-01-14T09:45:00Z</cp:lastPrinted>
  <dcterms:created xsi:type="dcterms:W3CDTF">2020-01-17T16:02:00Z</dcterms:created>
  <dcterms:modified xsi:type="dcterms:W3CDTF">2020-01-17T16:18:00Z</dcterms:modified>
</cp:coreProperties>
</file>