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687" w:rsidRDefault="00E37473" w:rsidP="00E37473">
      <w:pPr>
        <w:jc w:val="center"/>
      </w:pPr>
      <w:r>
        <w:rPr>
          <w:noProof/>
          <w:lang w:eastAsia="en-GB"/>
        </w:rPr>
        <w:drawing>
          <wp:inline distT="0" distB="0" distL="0" distR="0" wp14:anchorId="7D6DBB11" wp14:editId="75AE844B">
            <wp:extent cx="1600200" cy="1173480"/>
            <wp:effectExtent l="0" t="0" r="0" b="7620"/>
            <wp:docPr id="1" name="Picture 1" descr="C:\Users\geoffreyw\Pictures\SIGOM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ffreyw\Pictures\SIGOMA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173480"/>
                    </a:xfrm>
                    <a:prstGeom prst="rect">
                      <a:avLst/>
                    </a:prstGeom>
                    <a:noFill/>
                    <a:ln>
                      <a:noFill/>
                    </a:ln>
                  </pic:spPr>
                </pic:pic>
              </a:graphicData>
            </a:graphic>
          </wp:inline>
        </w:drawing>
      </w:r>
    </w:p>
    <w:p w:rsidR="00E37473" w:rsidRPr="000F30DE" w:rsidRDefault="00E37473" w:rsidP="00E37473">
      <w:pPr>
        <w:pStyle w:val="ListParagraph"/>
        <w:ind w:left="360"/>
        <w:jc w:val="center"/>
        <w:rPr>
          <w:rFonts w:ascii="Arial" w:hAnsi="Arial" w:cs="Arial"/>
          <w:sz w:val="24"/>
          <w:szCs w:val="24"/>
        </w:rPr>
      </w:pPr>
      <w:r w:rsidRPr="000F30DE">
        <w:rPr>
          <w:rFonts w:ascii="Arial" w:eastAsia="Times New Roman" w:hAnsi="Arial" w:cs="Arial"/>
          <w:i/>
          <w:kern w:val="28"/>
          <w:sz w:val="20"/>
          <w:szCs w:val="20"/>
        </w:rPr>
        <w:t>The Special Interest Group of Municipal Authorities (Outside London)</w:t>
      </w:r>
    </w:p>
    <w:p w:rsidR="00E37473" w:rsidRDefault="00E37473" w:rsidP="00E37473">
      <w:pPr>
        <w:pStyle w:val="ListParagraph"/>
        <w:ind w:left="360"/>
        <w:jc w:val="center"/>
        <w:rPr>
          <w:rFonts w:ascii="Arial" w:hAnsi="Arial" w:cs="Arial"/>
          <w:b/>
          <w:sz w:val="24"/>
          <w:szCs w:val="24"/>
          <w:u w:val="single"/>
        </w:rPr>
      </w:pPr>
      <w:r w:rsidRPr="000F30DE">
        <w:rPr>
          <w:rFonts w:ascii="Arial" w:hAnsi="Arial" w:cs="Arial"/>
          <w:b/>
          <w:sz w:val="24"/>
          <w:szCs w:val="24"/>
          <w:u w:val="single"/>
        </w:rPr>
        <w:t>S</w:t>
      </w:r>
      <w:r>
        <w:rPr>
          <w:rFonts w:ascii="Arial" w:hAnsi="Arial" w:cs="Arial"/>
          <w:b/>
          <w:sz w:val="24"/>
          <w:szCs w:val="24"/>
          <w:u w:val="single"/>
        </w:rPr>
        <w:t>IGOMA Response</w:t>
      </w:r>
      <w:r w:rsidR="003815B9">
        <w:rPr>
          <w:rFonts w:ascii="Arial" w:hAnsi="Arial" w:cs="Arial"/>
          <w:b/>
          <w:sz w:val="24"/>
          <w:szCs w:val="24"/>
          <w:u w:val="single"/>
        </w:rPr>
        <w:t xml:space="preserve"> to the Provisional Local Gove</w:t>
      </w:r>
      <w:r>
        <w:rPr>
          <w:rFonts w:ascii="Arial" w:hAnsi="Arial" w:cs="Arial"/>
          <w:b/>
          <w:sz w:val="24"/>
          <w:szCs w:val="24"/>
          <w:u w:val="single"/>
        </w:rPr>
        <w:t>rnment Finance Settlement 2019-20</w:t>
      </w:r>
    </w:p>
    <w:p w:rsidR="00E37473" w:rsidRPr="00D317AE" w:rsidRDefault="00E37473" w:rsidP="00E37473">
      <w:pPr>
        <w:pStyle w:val="ListParagraph"/>
        <w:ind w:left="426"/>
        <w:rPr>
          <w:rFonts w:ascii="Arial" w:hAnsi="Arial" w:cs="Arial"/>
          <w:sz w:val="24"/>
          <w:szCs w:val="24"/>
        </w:rPr>
      </w:pPr>
    </w:p>
    <w:p w:rsidR="00E37473" w:rsidRPr="000F30DE" w:rsidRDefault="00E37473" w:rsidP="00E37473">
      <w:pPr>
        <w:pStyle w:val="ListParagraph"/>
        <w:numPr>
          <w:ilvl w:val="0"/>
          <w:numId w:val="1"/>
        </w:numPr>
        <w:ind w:left="364"/>
        <w:rPr>
          <w:rFonts w:ascii="Arial" w:hAnsi="Arial" w:cs="Arial"/>
          <w:b/>
          <w:sz w:val="36"/>
          <w:szCs w:val="36"/>
        </w:rPr>
      </w:pPr>
      <w:r w:rsidRPr="000F30DE">
        <w:rPr>
          <w:rFonts w:ascii="Arial" w:hAnsi="Arial" w:cs="Arial"/>
          <w:b/>
          <w:sz w:val="36"/>
          <w:szCs w:val="36"/>
        </w:rPr>
        <w:t>About SIGOMA</w:t>
      </w:r>
    </w:p>
    <w:p w:rsidR="00E37473" w:rsidRDefault="00E37473" w:rsidP="00E37473">
      <w:pPr>
        <w:pStyle w:val="ListParagraph"/>
        <w:numPr>
          <w:ilvl w:val="1"/>
          <w:numId w:val="1"/>
        </w:numPr>
        <w:ind w:left="426"/>
        <w:rPr>
          <w:rFonts w:ascii="Arial" w:hAnsi="Arial" w:cs="Arial"/>
          <w:sz w:val="24"/>
          <w:szCs w:val="24"/>
        </w:rPr>
      </w:pPr>
      <w:r w:rsidRPr="000F30DE">
        <w:rPr>
          <w:rFonts w:ascii="Arial" w:hAnsi="Arial" w:cs="Arial"/>
          <w:sz w:val="24"/>
          <w:szCs w:val="24"/>
        </w:rPr>
        <w:t>SIGOMA represent metropolitan and unitary authorities outside London, from the Southern Ports, the East Midlands, West Midlands, North West</w:t>
      </w:r>
      <w:r>
        <w:rPr>
          <w:rFonts w:ascii="Arial" w:hAnsi="Arial" w:cs="Arial"/>
          <w:sz w:val="24"/>
          <w:szCs w:val="24"/>
        </w:rPr>
        <w:t>,</w:t>
      </w:r>
      <w:r w:rsidRPr="000F30DE">
        <w:rPr>
          <w:rFonts w:ascii="Arial" w:hAnsi="Arial" w:cs="Arial"/>
          <w:sz w:val="24"/>
          <w:szCs w:val="24"/>
        </w:rPr>
        <w:t xml:space="preserve"> North East and Yorkshire &amp; Humberside. The 47 SIGOMA Councils are home to 13.8 million people, </w:t>
      </w:r>
      <w:r>
        <w:rPr>
          <w:rFonts w:ascii="Arial" w:hAnsi="Arial" w:cs="Arial"/>
          <w:sz w:val="24"/>
          <w:szCs w:val="24"/>
        </w:rPr>
        <w:t>24.9% of the English population.</w:t>
      </w:r>
    </w:p>
    <w:p w:rsidR="003527C2" w:rsidRDefault="003527C2" w:rsidP="003527C2">
      <w:pPr>
        <w:pStyle w:val="ListParagraph"/>
        <w:ind w:left="426"/>
        <w:rPr>
          <w:rFonts w:ascii="Arial" w:hAnsi="Arial" w:cs="Arial"/>
          <w:sz w:val="24"/>
          <w:szCs w:val="24"/>
        </w:rPr>
      </w:pPr>
    </w:p>
    <w:p w:rsidR="003527C2" w:rsidRDefault="003527C2" w:rsidP="00E37473">
      <w:pPr>
        <w:pStyle w:val="ListParagraph"/>
        <w:numPr>
          <w:ilvl w:val="1"/>
          <w:numId w:val="1"/>
        </w:numPr>
        <w:ind w:left="426"/>
        <w:rPr>
          <w:rFonts w:ascii="Arial" w:hAnsi="Arial" w:cs="Arial"/>
          <w:sz w:val="24"/>
          <w:szCs w:val="24"/>
        </w:rPr>
      </w:pPr>
      <w:r>
        <w:rPr>
          <w:rFonts w:ascii="Arial" w:hAnsi="Arial" w:cs="Arial"/>
          <w:sz w:val="24"/>
          <w:szCs w:val="24"/>
        </w:rPr>
        <w:t>We welcome the opportunity to contribute to the consultation but regret that further time could not be allowed for this</w:t>
      </w:r>
      <w:r w:rsidR="004C58E5">
        <w:rPr>
          <w:rFonts w:ascii="Arial" w:hAnsi="Arial" w:cs="Arial"/>
          <w:sz w:val="24"/>
          <w:szCs w:val="24"/>
        </w:rPr>
        <w:t>,</w:t>
      </w:r>
      <w:r>
        <w:rPr>
          <w:rFonts w:ascii="Arial" w:hAnsi="Arial" w:cs="Arial"/>
          <w:sz w:val="24"/>
          <w:szCs w:val="24"/>
        </w:rPr>
        <w:t xml:space="preserve"> given the much later than planned release of settlement information.</w:t>
      </w:r>
    </w:p>
    <w:p w:rsidR="00E37473" w:rsidRPr="000F30DE" w:rsidRDefault="00E37473" w:rsidP="00E37473">
      <w:pPr>
        <w:pStyle w:val="ListParagraph"/>
        <w:ind w:left="426"/>
        <w:rPr>
          <w:rFonts w:ascii="Arial" w:hAnsi="Arial" w:cs="Arial"/>
          <w:sz w:val="24"/>
          <w:szCs w:val="24"/>
        </w:rPr>
      </w:pPr>
    </w:p>
    <w:p w:rsidR="00E37473" w:rsidRDefault="00E37473" w:rsidP="00E37473">
      <w:pPr>
        <w:pStyle w:val="ListParagraph"/>
        <w:numPr>
          <w:ilvl w:val="1"/>
          <w:numId w:val="1"/>
        </w:numPr>
        <w:spacing w:after="0"/>
        <w:ind w:left="426"/>
        <w:rPr>
          <w:rFonts w:ascii="Arial" w:hAnsi="Arial" w:cs="Arial"/>
          <w:sz w:val="24"/>
          <w:szCs w:val="24"/>
        </w:rPr>
      </w:pPr>
      <w:r w:rsidRPr="000F30DE">
        <w:rPr>
          <w:rFonts w:ascii="Arial" w:hAnsi="Arial" w:cs="Arial"/>
          <w:sz w:val="24"/>
          <w:szCs w:val="24"/>
        </w:rPr>
        <w:t>Our authorities typically represent areas that have suffered most during post-industrial decline</w:t>
      </w:r>
      <w:r>
        <w:rPr>
          <w:rFonts w:ascii="Arial" w:hAnsi="Arial" w:cs="Arial"/>
          <w:sz w:val="24"/>
          <w:szCs w:val="24"/>
        </w:rPr>
        <w:t>;</w:t>
      </w:r>
      <w:r w:rsidRPr="000F30DE">
        <w:rPr>
          <w:rFonts w:ascii="Arial" w:hAnsi="Arial" w:cs="Arial"/>
          <w:sz w:val="24"/>
          <w:szCs w:val="24"/>
        </w:rPr>
        <w:t xml:space="preserve"> </w:t>
      </w:r>
      <w:r>
        <w:rPr>
          <w:rFonts w:ascii="Arial" w:hAnsi="Arial" w:cs="Arial"/>
          <w:sz w:val="24"/>
          <w:szCs w:val="24"/>
        </w:rPr>
        <w:t>42</w:t>
      </w:r>
      <w:r w:rsidRPr="000F30DE">
        <w:rPr>
          <w:rFonts w:ascii="Arial" w:hAnsi="Arial" w:cs="Arial"/>
          <w:sz w:val="24"/>
          <w:szCs w:val="24"/>
        </w:rPr>
        <w:t xml:space="preserve"> of our 47 authorities are on the lower half of the Deprivation Ranking</w:t>
      </w:r>
      <w:r>
        <w:rPr>
          <w:rStyle w:val="EndnoteReference"/>
          <w:rFonts w:ascii="Arial" w:hAnsi="Arial" w:cs="Arial"/>
          <w:sz w:val="24"/>
          <w:szCs w:val="24"/>
        </w:rPr>
        <w:endnoteReference w:id="2"/>
      </w:r>
      <w:r w:rsidRPr="000F30DE">
        <w:rPr>
          <w:rFonts w:ascii="Arial" w:hAnsi="Arial" w:cs="Arial"/>
          <w:sz w:val="24"/>
          <w:szCs w:val="24"/>
        </w:rPr>
        <w:t xml:space="preserve"> with 10 of the most deprived decile (15 authorities) being SIGOMA members, including the first 5 most deprived.</w:t>
      </w:r>
    </w:p>
    <w:p w:rsidR="00E37473" w:rsidRPr="00E37473" w:rsidRDefault="00E37473" w:rsidP="00E37473">
      <w:pPr>
        <w:pStyle w:val="ListParagraph"/>
        <w:rPr>
          <w:rFonts w:ascii="Arial" w:hAnsi="Arial" w:cs="Arial"/>
          <w:sz w:val="24"/>
          <w:szCs w:val="24"/>
        </w:rPr>
      </w:pPr>
    </w:p>
    <w:p w:rsidR="00E37473" w:rsidRDefault="0028053D" w:rsidP="00E37473">
      <w:pPr>
        <w:pStyle w:val="ListParagraph"/>
        <w:numPr>
          <w:ilvl w:val="1"/>
          <w:numId w:val="1"/>
        </w:numPr>
        <w:spacing w:after="0"/>
        <w:ind w:left="426"/>
        <w:rPr>
          <w:rFonts w:ascii="Arial" w:hAnsi="Arial" w:cs="Arial"/>
          <w:sz w:val="24"/>
          <w:szCs w:val="24"/>
        </w:rPr>
      </w:pPr>
      <w:r>
        <w:rPr>
          <w:rFonts w:ascii="Arial" w:hAnsi="Arial" w:cs="Arial"/>
          <w:sz w:val="24"/>
          <w:szCs w:val="24"/>
        </w:rPr>
        <w:t>Our me</w:t>
      </w:r>
      <w:r w:rsidR="00122F3F">
        <w:rPr>
          <w:rFonts w:ascii="Arial" w:hAnsi="Arial" w:cs="Arial"/>
          <w:sz w:val="24"/>
          <w:szCs w:val="24"/>
        </w:rPr>
        <w:t>m</w:t>
      </w:r>
      <w:r>
        <w:rPr>
          <w:rFonts w:ascii="Arial" w:hAnsi="Arial" w:cs="Arial"/>
          <w:sz w:val="24"/>
          <w:szCs w:val="24"/>
        </w:rPr>
        <w:t>bers are caught between pressures from</w:t>
      </w:r>
      <w:r w:rsidR="00E37473">
        <w:rPr>
          <w:rFonts w:ascii="Arial" w:hAnsi="Arial" w:cs="Arial"/>
          <w:sz w:val="24"/>
          <w:szCs w:val="24"/>
        </w:rPr>
        <w:t xml:space="preserve"> in</w:t>
      </w:r>
      <w:r>
        <w:rPr>
          <w:rFonts w:ascii="Arial" w:hAnsi="Arial" w:cs="Arial"/>
          <w:sz w:val="24"/>
          <w:szCs w:val="24"/>
        </w:rPr>
        <w:t>creasing demand due to personal-</w:t>
      </w:r>
      <w:r w:rsidR="00E37473">
        <w:rPr>
          <w:rFonts w:ascii="Arial" w:hAnsi="Arial" w:cs="Arial"/>
          <w:sz w:val="24"/>
          <w:szCs w:val="24"/>
        </w:rPr>
        <w:t xml:space="preserve">welfare policy </w:t>
      </w:r>
      <w:r>
        <w:rPr>
          <w:rFonts w:ascii="Arial" w:hAnsi="Arial" w:cs="Arial"/>
          <w:sz w:val="24"/>
          <w:szCs w:val="24"/>
        </w:rPr>
        <w:t xml:space="preserve">decisions and the </w:t>
      </w:r>
      <w:r w:rsidR="00122F3F">
        <w:rPr>
          <w:rFonts w:ascii="Arial" w:hAnsi="Arial" w:cs="Arial"/>
          <w:sz w:val="24"/>
          <w:szCs w:val="24"/>
        </w:rPr>
        <w:t>worst e</w:t>
      </w:r>
      <w:r w:rsidR="00E37473">
        <w:rPr>
          <w:rFonts w:ascii="Arial" w:hAnsi="Arial" w:cs="Arial"/>
          <w:sz w:val="24"/>
          <w:szCs w:val="24"/>
        </w:rPr>
        <w:t>ffect</w:t>
      </w:r>
      <w:r>
        <w:rPr>
          <w:rFonts w:ascii="Arial" w:hAnsi="Arial" w:cs="Arial"/>
          <w:sz w:val="24"/>
          <w:szCs w:val="24"/>
        </w:rPr>
        <w:t>s of</w:t>
      </w:r>
      <w:r w:rsidR="00E37473">
        <w:rPr>
          <w:rFonts w:ascii="Arial" w:hAnsi="Arial" w:cs="Arial"/>
          <w:sz w:val="24"/>
          <w:szCs w:val="24"/>
        </w:rPr>
        <w:t xml:space="preserve"> successive settlements</w:t>
      </w:r>
      <w:r w:rsidR="00816E39">
        <w:rPr>
          <w:rFonts w:ascii="Arial" w:hAnsi="Arial" w:cs="Arial"/>
          <w:sz w:val="24"/>
          <w:szCs w:val="24"/>
        </w:rPr>
        <w:t xml:space="preserve"> since the austerity programme began.</w:t>
      </w:r>
    </w:p>
    <w:p w:rsidR="00E37473" w:rsidRPr="00E37473" w:rsidRDefault="00E37473" w:rsidP="00E37473">
      <w:pPr>
        <w:pStyle w:val="ListParagraph"/>
        <w:rPr>
          <w:rFonts w:ascii="Arial" w:hAnsi="Arial" w:cs="Arial"/>
          <w:sz w:val="24"/>
          <w:szCs w:val="24"/>
        </w:rPr>
      </w:pPr>
    </w:p>
    <w:p w:rsidR="003527C2" w:rsidRPr="003527C2" w:rsidRDefault="00E37473" w:rsidP="003527C2">
      <w:pPr>
        <w:pStyle w:val="ListParagraph"/>
        <w:numPr>
          <w:ilvl w:val="1"/>
          <w:numId w:val="1"/>
        </w:numPr>
        <w:spacing w:after="0"/>
        <w:ind w:left="426"/>
        <w:rPr>
          <w:rFonts w:ascii="Arial" w:hAnsi="Arial" w:cs="Arial"/>
          <w:sz w:val="24"/>
          <w:szCs w:val="24"/>
        </w:rPr>
      </w:pPr>
      <w:r>
        <w:rPr>
          <w:rFonts w:ascii="Arial" w:hAnsi="Arial" w:cs="Arial"/>
          <w:sz w:val="24"/>
          <w:szCs w:val="24"/>
        </w:rPr>
        <w:t>Despite assurances from successive Ministers that “we are all in this together” our authorities feel that the measuring stick of who is worst affected by austerity measures</w:t>
      </w:r>
      <w:r w:rsidR="008463D5">
        <w:rPr>
          <w:rFonts w:ascii="Arial" w:hAnsi="Arial" w:cs="Arial"/>
          <w:sz w:val="24"/>
          <w:szCs w:val="24"/>
        </w:rPr>
        <w:t xml:space="preserve"> changes to suit policy, to the benefit of those who are more affluent. Few </w:t>
      </w:r>
      <w:r w:rsidR="00675412">
        <w:rPr>
          <w:rFonts w:ascii="Arial" w:hAnsi="Arial" w:cs="Arial"/>
          <w:sz w:val="24"/>
          <w:szCs w:val="24"/>
        </w:rPr>
        <w:t>residents</w:t>
      </w:r>
      <w:r w:rsidR="008463D5">
        <w:rPr>
          <w:rFonts w:ascii="Arial" w:hAnsi="Arial" w:cs="Arial"/>
          <w:sz w:val="24"/>
          <w:szCs w:val="24"/>
        </w:rPr>
        <w:t xml:space="preserve"> in SIGOMA authorities would acknowledge that this settlement supports our Prime Minister’s assertion that they should “know that austerity is </w:t>
      </w:r>
      <w:r w:rsidR="00675412">
        <w:rPr>
          <w:rFonts w:ascii="Arial" w:hAnsi="Arial" w:cs="Arial"/>
          <w:sz w:val="24"/>
          <w:szCs w:val="24"/>
        </w:rPr>
        <w:t>coming to an end</w:t>
      </w:r>
      <w:r w:rsidR="008463D5">
        <w:rPr>
          <w:rFonts w:ascii="Arial" w:hAnsi="Arial" w:cs="Arial"/>
          <w:sz w:val="24"/>
          <w:szCs w:val="24"/>
        </w:rPr>
        <w:t>”.</w:t>
      </w:r>
    </w:p>
    <w:p w:rsidR="008463D5" w:rsidRPr="008463D5" w:rsidRDefault="008463D5" w:rsidP="008463D5">
      <w:pPr>
        <w:spacing w:after="0"/>
        <w:rPr>
          <w:rFonts w:ascii="Arial" w:hAnsi="Arial" w:cs="Arial"/>
          <w:sz w:val="24"/>
          <w:szCs w:val="24"/>
        </w:rPr>
      </w:pPr>
    </w:p>
    <w:p w:rsidR="0028053D" w:rsidRDefault="006E439E" w:rsidP="006E439E">
      <w:pPr>
        <w:pStyle w:val="ListParagraph"/>
        <w:numPr>
          <w:ilvl w:val="0"/>
          <w:numId w:val="1"/>
        </w:numPr>
        <w:spacing w:after="0"/>
        <w:ind w:left="426"/>
        <w:rPr>
          <w:rFonts w:ascii="Arial" w:hAnsi="Arial" w:cs="Arial"/>
          <w:b/>
          <w:sz w:val="24"/>
          <w:szCs w:val="24"/>
        </w:rPr>
      </w:pPr>
      <w:r w:rsidRPr="006E439E">
        <w:rPr>
          <w:rFonts w:ascii="Arial" w:hAnsi="Arial" w:cs="Arial"/>
          <w:b/>
          <w:sz w:val="24"/>
          <w:szCs w:val="24"/>
        </w:rPr>
        <w:t>Qu</w:t>
      </w:r>
      <w:r w:rsidR="008463D5">
        <w:rPr>
          <w:rFonts w:ascii="Arial" w:hAnsi="Arial" w:cs="Arial"/>
          <w:b/>
          <w:sz w:val="24"/>
          <w:szCs w:val="24"/>
        </w:rPr>
        <w:t xml:space="preserve">estion 1 Do you agree with the </w:t>
      </w:r>
      <w:r w:rsidRPr="006E439E">
        <w:rPr>
          <w:rFonts w:ascii="Arial" w:hAnsi="Arial" w:cs="Arial"/>
          <w:b/>
          <w:sz w:val="24"/>
          <w:szCs w:val="24"/>
        </w:rPr>
        <w:t>methodology for allocating revenue support grant in 2019-20?</w:t>
      </w:r>
    </w:p>
    <w:p w:rsidR="00816E39" w:rsidRDefault="00816E39" w:rsidP="00816E39">
      <w:pPr>
        <w:pStyle w:val="ListParagraph"/>
        <w:spacing w:after="0"/>
        <w:ind w:left="426"/>
        <w:rPr>
          <w:rFonts w:ascii="Arial" w:hAnsi="Arial" w:cs="Arial"/>
          <w:b/>
          <w:sz w:val="24"/>
          <w:szCs w:val="24"/>
        </w:rPr>
      </w:pPr>
    </w:p>
    <w:p w:rsidR="00816E39" w:rsidRDefault="00816E39" w:rsidP="00816E39">
      <w:pPr>
        <w:pStyle w:val="ListParagraph"/>
        <w:numPr>
          <w:ilvl w:val="1"/>
          <w:numId w:val="1"/>
        </w:numPr>
        <w:spacing w:after="0"/>
        <w:ind w:left="426"/>
        <w:rPr>
          <w:rFonts w:ascii="Arial" w:hAnsi="Arial" w:cs="Arial"/>
          <w:sz w:val="24"/>
          <w:szCs w:val="24"/>
        </w:rPr>
      </w:pPr>
      <w:r>
        <w:rPr>
          <w:rFonts w:ascii="Arial" w:hAnsi="Arial" w:cs="Arial"/>
          <w:sz w:val="24"/>
          <w:szCs w:val="24"/>
        </w:rPr>
        <w:t>Government’s published measure of changes in funding is Core Spending Power. The settlement cites a real term increase in CSP in 2018-19. Those same statistics show a real term reduction in spending power since 2010 of 24.5% and</w:t>
      </w:r>
      <w:r w:rsidR="00675412">
        <w:rPr>
          <w:rFonts w:ascii="Arial" w:hAnsi="Arial" w:cs="Arial"/>
          <w:sz w:val="24"/>
          <w:szCs w:val="24"/>
        </w:rPr>
        <w:t>,</w:t>
      </w:r>
      <w:r>
        <w:rPr>
          <w:rFonts w:ascii="Arial" w:hAnsi="Arial" w:cs="Arial"/>
          <w:sz w:val="24"/>
          <w:szCs w:val="24"/>
        </w:rPr>
        <w:t xml:space="preserve"> within that</w:t>
      </w:r>
      <w:r w:rsidR="00675412">
        <w:rPr>
          <w:rFonts w:ascii="Arial" w:hAnsi="Arial" w:cs="Arial"/>
          <w:sz w:val="24"/>
          <w:szCs w:val="24"/>
        </w:rPr>
        <w:t>,</w:t>
      </w:r>
      <w:r>
        <w:rPr>
          <w:rFonts w:ascii="Arial" w:hAnsi="Arial" w:cs="Arial"/>
          <w:sz w:val="24"/>
          <w:szCs w:val="24"/>
        </w:rPr>
        <w:t xml:space="preserve"> a cut to our members of 30.9%. </w:t>
      </w:r>
    </w:p>
    <w:p w:rsidR="00816E39" w:rsidRDefault="00816E39" w:rsidP="00816E39">
      <w:pPr>
        <w:pStyle w:val="ListParagraph"/>
        <w:spacing w:after="0"/>
        <w:ind w:left="426"/>
        <w:rPr>
          <w:rFonts w:ascii="Arial" w:hAnsi="Arial" w:cs="Arial"/>
          <w:sz w:val="24"/>
          <w:szCs w:val="24"/>
        </w:rPr>
      </w:pPr>
    </w:p>
    <w:p w:rsidR="00816E39" w:rsidRPr="00816E39" w:rsidRDefault="00816E39" w:rsidP="00816E39">
      <w:pPr>
        <w:pStyle w:val="ListParagraph"/>
        <w:numPr>
          <w:ilvl w:val="1"/>
          <w:numId w:val="1"/>
        </w:numPr>
        <w:spacing w:after="0"/>
        <w:ind w:left="426"/>
        <w:rPr>
          <w:rFonts w:ascii="Arial" w:hAnsi="Arial" w:cs="Arial"/>
          <w:sz w:val="24"/>
          <w:szCs w:val="24"/>
        </w:rPr>
      </w:pPr>
      <w:r w:rsidRPr="00816E39">
        <w:rPr>
          <w:rFonts w:ascii="Arial" w:hAnsi="Arial" w:cs="Arial"/>
          <w:sz w:val="24"/>
          <w:szCs w:val="24"/>
        </w:rPr>
        <w:t>Yet</w:t>
      </w:r>
      <w:r w:rsidR="00675412">
        <w:rPr>
          <w:rFonts w:ascii="Arial" w:hAnsi="Arial" w:cs="Arial"/>
          <w:sz w:val="24"/>
          <w:szCs w:val="24"/>
        </w:rPr>
        <w:t>,</w:t>
      </w:r>
      <w:r w:rsidRPr="00816E39">
        <w:rPr>
          <w:rFonts w:ascii="Arial" w:hAnsi="Arial" w:cs="Arial"/>
          <w:sz w:val="24"/>
          <w:szCs w:val="24"/>
        </w:rPr>
        <w:t xml:space="preserve"> as our submission will show, the Minister choses the abstract notion of negative RSG to deci</w:t>
      </w:r>
      <w:r w:rsidR="00C5645F">
        <w:rPr>
          <w:rFonts w:ascii="Arial" w:hAnsi="Arial" w:cs="Arial"/>
          <w:sz w:val="24"/>
          <w:szCs w:val="24"/>
        </w:rPr>
        <w:t>de who is most in need of additional</w:t>
      </w:r>
      <w:r w:rsidRPr="00816E39">
        <w:rPr>
          <w:rFonts w:ascii="Arial" w:hAnsi="Arial" w:cs="Arial"/>
          <w:sz w:val="24"/>
          <w:szCs w:val="24"/>
        </w:rPr>
        <w:t xml:space="preserve"> funding</w:t>
      </w:r>
      <w:r w:rsidR="00675412">
        <w:rPr>
          <w:rFonts w:ascii="Arial" w:hAnsi="Arial" w:cs="Arial"/>
          <w:sz w:val="24"/>
          <w:szCs w:val="24"/>
        </w:rPr>
        <w:t>.</w:t>
      </w:r>
    </w:p>
    <w:p w:rsidR="0028053D" w:rsidRPr="0028053D" w:rsidRDefault="0028053D" w:rsidP="0028053D">
      <w:pPr>
        <w:pStyle w:val="ListParagraph"/>
        <w:rPr>
          <w:rFonts w:ascii="Arial" w:hAnsi="Arial" w:cs="Arial"/>
          <w:sz w:val="24"/>
          <w:szCs w:val="24"/>
        </w:rPr>
      </w:pPr>
    </w:p>
    <w:p w:rsidR="0028053D" w:rsidRDefault="00816E39" w:rsidP="00E37473">
      <w:pPr>
        <w:pStyle w:val="ListParagraph"/>
        <w:numPr>
          <w:ilvl w:val="1"/>
          <w:numId w:val="1"/>
        </w:numPr>
        <w:spacing w:after="0"/>
        <w:ind w:left="426"/>
        <w:rPr>
          <w:rFonts w:ascii="Arial" w:hAnsi="Arial" w:cs="Arial"/>
          <w:sz w:val="24"/>
          <w:szCs w:val="24"/>
        </w:rPr>
      </w:pPr>
      <w:r>
        <w:rPr>
          <w:rFonts w:ascii="Arial" w:hAnsi="Arial" w:cs="Arial"/>
          <w:sz w:val="24"/>
          <w:szCs w:val="24"/>
        </w:rPr>
        <w:t>Since the RSG</w:t>
      </w:r>
      <w:r w:rsidR="006E439E">
        <w:rPr>
          <w:rFonts w:ascii="Arial" w:hAnsi="Arial" w:cs="Arial"/>
          <w:sz w:val="24"/>
          <w:szCs w:val="24"/>
        </w:rPr>
        <w:t xml:space="preserve"> methodology must be taken to incorporate the decision to eliminate negative RSG in the manner described in the technical consultation</w:t>
      </w:r>
      <w:r w:rsidR="00122F3F">
        <w:rPr>
          <w:rFonts w:ascii="Arial" w:hAnsi="Arial" w:cs="Arial"/>
          <w:sz w:val="24"/>
          <w:szCs w:val="24"/>
        </w:rPr>
        <w:t>,</w:t>
      </w:r>
      <w:r w:rsidR="006F70B8">
        <w:rPr>
          <w:rFonts w:ascii="Arial" w:hAnsi="Arial" w:cs="Arial"/>
          <w:sz w:val="24"/>
          <w:szCs w:val="24"/>
        </w:rPr>
        <w:t xml:space="preserve"> </w:t>
      </w:r>
      <w:r w:rsidR="006E439E">
        <w:rPr>
          <w:rFonts w:ascii="Arial" w:hAnsi="Arial" w:cs="Arial"/>
          <w:sz w:val="24"/>
          <w:szCs w:val="24"/>
        </w:rPr>
        <w:t>we c</w:t>
      </w:r>
      <w:r>
        <w:rPr>
          <w:rFonts w:ascii="Arial" w:hAnsi="Arial" w:cs="Arial"/>
          <w:sz w:val="24"/>
          <w:szCs w:val="24"/>
        </w:rPr>
        <w:t>annot agree with it</w:t>
      </w:r>
      <w:r w:rsidR="006E439E">
        <w:rPr>
          <w:rFonts w:ascii="Arial" w:hAnsi="Arial" w:cs="Arial"/>
          <w:sz w:val="24"/>
          <w:szCs w:val="24"/>
        </w:rPr>
        <w:t>.</w:t>
      </w:r>
    </w:p>
    <w:p w:rsidR="0028053D" w:rsidRPr="0028053D" w:rsidRDefault="0028053D" w:rsidP="0028053D">
      <w:pPr>
        <w:pStyle w:val="ListParagraph"/>
        <w:rPr>
          <w:rFonts w:ascii="Arial" w:hAnsi="Arial" w:cs="Arial"/>
          <w:sz w:val="24"/>
          <w:szCs w:val="24"/>
        </w:rPr>
      </w:pPr>
    </w:p>
    <w:p w:rsidR="0028053D" w:rsidRDefault="0028053D" w:rsidP="00E37473">
      <w:pPr>
        <w:pStyle w:val="ListParagraph"/>
        <w:numPr>
          <w:ilvl w:val="1"/>
          <w:numId w:val="1"/>
        </w:numPr>
        <w:spacing w:after="0"/>
        <w:ind w:left="426"/>
        <w:rPr>
          <w:rFonts w:ascii="Arial" w:hAnsi="Arial" w:cs="Arial"/>
          <w:sz w:val="24"/>
          <w:szCs w:val="24"/>
        </w:rPr>
      </w:pPr>
      <w:r>
        <w:rPr>
          <w:rFonts w:ascii="Arial" w:hAnsi="Arial" w:cs="Arial"/>
          <w:sz w:val="24"/>
          <w:szCs w:val="24"/>
        </w:rPr>
        <w:t>A</w:t>
      </w:r>
      <w:r w:rsidR="006E439E">
        <w:rPr>
          <w:rFonts w:ascii="Arial" w:hAnsi="Arial" w:cs="Arial"/>
          <w:sz w:val="24"/>
          <w:szCs w:val="24"/>
        </w:rPr>
        <w:t xml:space="preserve">s the Department </w:t>
      </w:r>
      <w:r w:rsidR="00D47A8C">
        <w:rPr>
          <w:rFonts w:ascii="Arial" w:hAnsi="Arial" w:cs="Arial"/>
          <w:sz w:val="24"/>
          <w:szCs w:val="24"/>
        </w:rPr>
        <w:t xml:space="preserve">has reminded us on more than one occasion, a significant majority of authorities </w:t>
      </w:r>
      <w:r w:rsidR="00390F07">
        <w:rPr>
          <w:rFonts w:ascii="Arial" w:hAnsi="Arial" w:cs="Arial"/>
          <w:sz w:val="24"/>
          <w:szCs w:val="24"/>
        </w:rPr>
        <w:t>agreed to the proposed 4 year offer made in December 2015. This offer included:</w:t>
      </w:r>
    </w:p>
    <w:p w:rsidR="00390F07" w:rsidRPr="00390F07" w:rsidRDefault="00390F07" w:rsidP="00390F07">
      <w:pPr>
        <w:pStyle w:val="ListParagraph"/>
        <w:rPr>
          <w:rFonts w:ascii="Arial" w:hAnsi="Arial" w:cs="Arial"/>
          <w:sz w:val="24"/>
          <w:szCs w:val="24"/>
        </w:rPr>
      </w:pPr>
      <w:r w:rsidRPr="00390F07">
        <w:rPr>
          <w:rFonts w:ascii="Arial" w:hAnsi="Arial" w:cs="Arial"/>
          <w:sz w:val="24"/>
          <w:szCs w:val="24"/>
        </w:rPr>
        <w:t>• Revenue Support Grant;</w:t>
      </w:r>
    </w:p>
    <w:p w:rsidR="00390F07" w:rsidRPr="00390F07" w:rsidRDefault="00390F07" w:rsidP="00390F07">
      <w:pPr>
        <w:pStyle w:val="ListParagraph"/>
        <w:rPr>
          <w:rFonts w:ascii="Arial" w:hAnsi="Arial" w:cs="Arial"/>
          <w:sz w:val="24"/>
          <w:szCs w:val="24"/>
        </w:rPr>
      </w:pPr>
      <w:r w:rsidRPr="00390F07">
        <w:rPr>
          <w:rFonts w:ascii="Arial" w:hAnsi="Arial" w:cs="Arial"/>
          <w:sz w:val="24"/>
          <w:szCs w:val="24"/>
        </w:rPr>
        <w:t>• Business r</w:t>
      </w:r>
      <w:r w:rsidR="00122F3F">
        <w:rPr>
          <w:rFonts w:ascii="Arial" w:hAnsi="Arial" w:cs="Arial"/>
          <w:sz w:val="24"/>
          <w:szCs w:val="24"/>
        </w:rPr>
        <w:t>ates tariff and top-up payments</w:t>
      </w:r>
      <w:r w:rsidRPr="00390F07">
        <w:rPr>
          <w:rFonts w:ascii="Arial" w:hAnsi="Arial" w:cs="Arial"/>
          <w:sz w:val="24"/>
          <w:szCs w:val="24"/>
        </w:rPr>
        <w:t>;</w:t>
      </w:r>
    </w:p>
    <w:p w:rsidR="00390F07" w:rsidRPr="00390F07" w:rsidRDefault="00390F07" w:rsidP="00390F07">
      <w:pPr>
        <w:pStyle w:val="ListParagraph"/>
        <w:rPr>
          <w:rFonts w:ascii="Arial" w:hAnsi="Arial" w:cs="Arial"/>
          <w:sz w:val="24"/>
          <w:szCs w:val="24"/>
        </w:rPr>
      </w:pPr>
      <w:r w:rsidRPr="00390F07">
        <w:rPr>
          <w:rFonts w:ascii="Arial" w:hAnsi="Arial" w:cs="Arial"/>
          <w:sz w:val="24"/>
          <w:szCs w:val="24"/>
        </w:rPr>
        <w:t>• Rur</w:t>
      </w:r>
      <w:r>
        <w:rPr>
          <w:rFonts w:ascii="Arial" w:hAnsi="Arial" w:cs="Arial"/>
          <w:sz w:val="24"/>
          <w:szCs w:val="24"/>
        </w:rPr>
        <w:t>al Services Delivery Grant;</w:t>
      </w:r>
    </w:p>
    <w:p w:rsidR="0028053D" w:rsidRPr="0028053D" w:rsidRDefault="0028053D" w:rsidP="0028053D">
      <w:pPr>
        <w:pStyle w:val="ListParagraph"/>
        <w:rPr>
          <w:rFonts w:ascii="Arial" w:hAnsi="Arial" w:cs="Arial"/>
          <w:sz w:val="24"/>
          <w:szCs w:val="24"/>
        </w:rPr>
      </w:pPr>
    </w:p>
    <w:p w:rsidR="0028053D" w:rsidRDefault="009D7D9F" w:rsidP="00E37473">
      <w:pPr>
        <w:pStyle w:val="ListParagraph"/>
        <w:numPr>
          <w:ilvl w:val="1"/>
          <w:numId w:val="1"/>
        </w:numPr>
        <w:spacing w:after="0"/>
        <w:ind w:left="426"/>
        <w:rPr>
          <w:rFonts w:ascii="Arial" w:hAnsi="Arial" w:cs="Arial"/>
          <w:sz w:val="24"/>
          <w:szCs w:val="24"/>
        </w:rPr>
      </w:pPr>
      <w:r>
        <w:rPr>
          <w:rFonts w:ascii="Arial" w:hAnsi="Arial" w:cs="Arial"/>
          <w:sz w:val="24"/>
          <w:szCs w:val="24"/>
        </w:rPr>
        <w:t>The Minister can hopefully understand our frustration with the latest proposals on removal of negative RSG when considering the results of this and all other changes to CSP between the original and the latest settlement for 2019-20.</w:t>
      </w:r>
    </w:p>
    <w:p w:rsidR="0028053D" w:rsidRPr="0028053D" w:rsidRDefault="0028053D" w:rsidP="0028053D">
      <w:pPr>
        <w:pStyle w:val="ListParagraph"/>
        <w:rPr>
          <w:rFonts w:ascii="Arial" w:hAnsi="Arial" w:cs="Arial"/>
          <w:sz w:val="24"/>
          <w:szCs w:val="24"/>
        </w:rPr>
      </w:pPr>
    </w:p>
    <w:p w:rsidR="0028053D" w:rsidRDefault="00995A71" w:rsidP="00E37473">
      <w:pPr>
        <w:pStyle w:val="ListParagraph"/>
        <w:numPr>
          <w:ilvl w:val="1"/>
          <w:numId w:val="1"/>
        </w:numPr>
        <w:spacing w:after="0"/>
        <w:ind w:left="426"/>
        <w:rPr>
          <w:rFonts w:ascii="Arial" w:hAnsi="Arial" w:cs="Arial"/>
          <w:sz w:val="24"/>
          <w:szCs w:val="24"/>
        </w:rPr>
      </w:pPr>
      <w:r>
        <w:rPr>
          <w:rFonts w:ascii="Arial" w:hAnsi="Arial" w:cs="Arial"/>
          <w:sz w:val="24"/>
          <w:szCs w:val="24"/>
        </w:rPr>
        <w:t>The result of injecting additional funding for transition and negative RSG has been to maintain the imbalance between SIGOMA and other authorities.</w:t>
      </w:r>
      <w:r w:rsidR="00816E39">
        <w:rPr>
          <w:rFonts w:ascii="Arial" w:hAnsi="Arial" w:cs="Arial"/>
          <w:sz w:val="24"/>
          <w:szCs w:val="24"/>
        </w:rPr>
        <w:t xml:space="preserve"> This is illustrated</w:t>
      </w:r>
      <w:r w:rsidR="006F70B8">
        <w:rPr>
          <w:rFonts w:ascii="Arial" w:hAnsi="Arial" w:cs="Arial"/>
          <w:sz w:val="24"/>
          <w:szCs w:val="24"/>
        </w:rPr>
        <w:t xml:space="preserve"> in the following table comparing </w:t>
      </w:r>
      <w:r w:rsidR="00816E39">
        <w:rPr>
          <w:rFonts w:ascii="Arial" w:hAnsi="Arial" w:cs="Arial"/>
          <w:sz w:val="24"/>
          <w:szCs w:val="24"/>
        </w:rPr>
        <w:t xml:space="preserve">changes in SIGOMA and non SIGOMA </w:t>
      </w:r>
      <w:r w:rsidR="006F70B8">
        <w:rPr>
          <w:rFonts w:ascii="Arial" w:hAnsi="Arial" w:cs="Arial"/>
          <w:sz w:val="24"/>
          <w:szCs w:val="24"/>
        </w:rPr>
        <w:t>Core Spending Power over the 4 year offer period firstly, as originally prop</w:t>
      </w:r>
      <w:r w:rsidR="00816E39">
        <w:rPr>
          <w:rFonts w:ascii="Arial" w:hAnsi="Arial" w:cs="Arial"/>
          <w:sz w:val="24"/>
          <w:szCs w:val="24"/>
        </w:rPr>
        <w:t>osed</w:t>
      </w:r>
      <w:r w:rsidR="00675412">
        <w:rPr>
          <w:rFonts w:ascii="Arial" w:hAnsi="Arial" w:cs="Arial"/>
          <w:sz w:val="24"/>
          <w:szCs w:val="24"/>
        </w:rPr>
        <w:t>,</w:t>
      </w:r>
      <w:r w:rsidR="00816E39">
        <w:rPr>
          <w:rFonts w:ascii="Arial" w:hAnsi="Arial" w:cs="Arial"/>
          <w:sz w:val="24"/>
          <w:szCs w:val="24"/>
        </w:rPr>
        <w:t xml:space="preserve"> and now with</w:t>
      </w:r>
      <w:r w:rsidR="00675412">
        <w:rPr>
          <w:rFonts w:ascii="Arial" w:hAnsi="Arial" w:cs="Arial"/>
          <w:sz w:val="24"/>
          <w:szCs w:val="24"/>
        </w:rPr>
        <w:t xml:space="preserve"> this</w:t>
      </w:r>
      <w:r w:rsidR="00816E39">
        <w:rPr>
          <w:rFonts w:ascii="Arial" w:hAnsi="Arial" w:cs="Arial"/>
          <w:sz w:val="24"/>
          <w:szCs w:val="24"/>
        </w:rPr>
        <w:t xml:space="preserve"> latest proposal</w:t>
      </w:r>
      <w:r w:rsidR="006F70B8">
        <w:rPr>
          <w:rFonts w:ascii="Arial" w:hAnsi="Arial" w:cs="Arial"/>
          <w:sz w:val="24"/>
          <w:szCs w:val="24"/>
        </w:rPr>
        <w:t>.</w:t>
      </w:r>
    </w:p>
    <w:p w:rsidR="0028053D" w:rsidRDefault="0028053D" w:rsidP="0028053D">
      <w:pPr>
        <w:pStyle w:val="ListParagraph"/>
        <w:rPr>
          <w:rFonts w:ascii="Arial" w:hAnsi="Arial" w:cs="Arial"/>
          <w:sz w:val="24"/>
          <w:szCs w:val="24"/>
        </w:rPr>
      </w:pPr>
    </w:p>
    <w:p w:rsidR="00995A71" w:rsidRPr="00D46481" w:rsidRDefault="00D46481" w:rsidP="00D46481">
      <w:pPr>
        <w:pStyle w:val="ListParagraph"/>
        <w:rPr>
          <w:rFonts w:ascii="Arial" w:hAnsi="Arial" w:cs="Arial"/>
          <w:sz w:val="24"/>
          <w:szCs w:val="24"/>
        </w:rPr>
      </w:pPr>
      <w:r w:rsidRPr="00D46481">
        <w:rPr>
          <w:noProof/>
          <w:lang w:eastAsia="en-GB"/>
        </w:rPr>
        <w:drawing>
          <wp:inline distT="0" distB="0" distL="0" distR="0" wp14:anchorId="456F65BB" wp14:editId="5D9E8216">
            <wp:extent cx="4933950" cy="1914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3950" cy="1914525"/>
                    </a:xfrm>
                    <a:prstGeom prst="rect">
                      <a:avLst/>
                    </a:prstGeom>
                    <a:noFill/>
                    <a:ln>
                      <a:noFill/>
                    </a:ln>
                  </pic:spPr>
                </pic:pic>
              </a:graphicData>
            </a:graphic>
          </wp:inline>
        </w:drawing>
      </w:r>
    </w:p>
    <w:p w:rsidR="00995A71" w:rsidRPr="0028053D" w:rsidRDefault="00995A71" w:rsidP="0028053D">
      <w:pPr>
        <w:pStyle w:val="ListParagraph"/>
        <w:rPr>
          <w:rFonts w:ascii="Arial" w:hAnsi="Arial" w:cs="Arial"/>
          <w:sz w:val="24"/>
          <w:szCs w:val="24"/>
        </w:rPr>
      </w:pPr>
    </w:p>
    <w:p w:rsidR="0028053D" w:rsidRDefault="00D46481" w:rsidP="00E37473">
      <w:pPr>
        <w:pStyle w:val="ListParagraph"/>
        <w:numPr>
          <w:ilvl w:val="1"/>
          <w:numId w:val="1"/>
        </w:numPr>
        <w:spacing w:after="0"/>
        <w:ind w:left="426"/>
        <w:rPr>
          <w:rFonts w:ascii="Arial" w:hAnsi="Arial" w:cs="Arial"/>
          <w:sz w:val="24"/>
          <w:szCs w:val="24"/>
        </w:rPr>
      </w:pPr>
      <w:r>
        <w:rPr>
          <w:rFonts w:ascii="Arial" w:hAnsi="Arial" w:cs="Arial"/>
          <w:sz w:val="24"/>
          <w:szCs w:val="24"/>
        </w:rPr>
        <w:t>The negative real term</w:t>
      </w:r>
      <w:r w:rsidR="00675412">
        <w:rPr>
          <w:rFonts w:ascii="Arial" w:hAnsi="Arial" w:cs="Arial"/>
          <w:sz w:val="24"/>
          <w:szCs w:val="24"/>
        </w:rPr>
        <w:t>s</w:t>
      </w:r>
      <w:r>
        <w:rPr>
          <w:rFonts w:ascii="Arial" w:hAnsi="Arial" w:cs="Arial"/>
          <w:sz w:val="24"/>
          <w:szCs w:val="24"/>
        </w:rPr>
        <w:t xml:space="preserve"> impact is </w:t>
      </w:r>
      <w:r w:rsidR="00D957BA">
        <w:rPr>
          <w:rFonts w:ascii="Arial" w:hAnsi="Arial" w:cs="Arial"/>
          <w:sz w:val="24"/>
          <w:szCs w:val="24"/>
        </w:rPr>
        <w:t>calculated using</w:t>
      </w:r>
      <w:r>
        <w:rPr>
          <w:rFonts w:ascii="Arial" w:hAnsi="Arial" w:cs="Arial"/>
          <w:sz w:val="24"/>
          <w:szCs w:val="24"/>
        </w:rPr>
        <w:t xml:space="preserve"> in </w:t>
      </w:r>
      <w:r w:rsidR="00675412">
        <w:rPr>
          <w:rFonts w:ascii="Arial" w:hAnsi="Arial" w:cs="Arial"/>
          <w:sz w:val="24"/>
          <w:szCs w:val="24"/>
        </w:rPr>
        <w:t>the</w:t>
      </w:r>
      <w:r>
        <w:rPr>
          <w:rFonts w:ascii="Arial" w:hAnsi="Arial" w:cs="Arial"/>
          <w:sz w:val="24"/>
          <w:szCs w:val="24"/>
        </w:rPr>
        <w:t xml:space="preserve"> Governments own calculations using GDP deflators, </w:t>
      </w:r>
      <w:r w:rsidR="00512BBD">
        <w:rPr>
          <w:rFonts w:ascii="Arial" w:hAnsi="Arial" w:cs="Arial"/>
          <w:sz w:val="24"/>
          <w:szCs w:val="24"/>
        </w:rPr>
        <w:t>however</w:t>
      </w:r>
      <w:r>
        <w:rPr>
          <w:rFonts w:ascii="Arial" w:hAnsi="Arial" w:cs="Arial"/>
          <w:sz w:val="24"/>
          <w:szCs w:val="24"/>
        </w:rPr>
        <w:t xml:space="preserve"> Government will be aware that </w:t>
      </w:r>
      <w:r w:rsidR="00512BBD">
        <w:rPr>
          <w:rFonts w:ascii="Arial" w:hAnsi="Arial" w:cs="Arial"/>
          <w:sz w:val="24"/>
          <w:szCs w:val="24"/>
        </w:rPr>
        <w:t>authorities</w:t>
      </w:r>
      <w:r>
        <w:rPr>
          <w:rFonts w:ascii="Arial" w:hAnsi="Arial" w:cs="Arial"/>
          <w:sz w:val="24"/>
          <w:szCs w:val="24"/>
        </w:rPr>
        <w:t xml:space="preserve"> have</w:t>
      </w:r>
      <w:r w:rsidR="006F70B8">
        <w:rPr>
          <w:rFonts w:ascii="Arial" w:hAnsi="Arial" w:cs="Arial"/>
          <w:sz w:val="24"/>
          <w:szCs w:val="24"/>
        </w:rPr>
        <w:t xml:space="preserve"> actually suffered </w:t>
      </w:r>
      <w:r>
        <w:rPr>
          <w:rFonts w:ascii="Arial" w:hAnsi="Arial" w:cs="Arial"/>
          <w:sz w:val="24"/>
          <w:szCs w:val="24"/>
        </w:rPr>
        <w:t xml:space="preserve">inflationary pressures </w:t>
      </w:r>
      <w:r w:rsidR="006F70B8">
        <w:rPr>
          <w:rFonts w:ascii="Arial" w:hAnsi="Arial" w:cs="Arial"/>
          <w:sz w:val="24"/>
          <w:szCs w:val="24"/>
        </w:rPr>
        <w:t xml:space="preserve">above CPI </w:t>
      </w:r>
      <w:r>
        <w:rPr>
          <w:rFonts w:ascii="Arial" w:hAnsi="Arial" w:cs="Arial"/>
          <w:sz w:val="24"/>
          <w:szCs w:val="24"/>
        </w:rPr>
        <w:t xml:space="preserve">due to the impact of the national living wage and now the latest proposals </w:t>
      </w:r>
      <w:r w:rsidR="00512BBD">
        <w:rPr>
          <w:rFonts w:ascii="Arial" w:hAnsi="Arial" w:cs="Arial"/>
          <w:sz w:val="24"/>
          <w:szCs w:val="24"/>
        </w:rPr>
        <w:t>for changes to local government pension reform</w:t>
      </w:r>
      <w:r w:rsidR="00816E39">
        <w:rPr>
          <w:rFonts w:ascii="Arial" w:hAnsi="Arial" w:cs="Arial"/>
          <w:sz w:val="24"/>
          <w:szCs w:val="24"/>
        </w:rPr>
        <w:t>,</w:t>
      </w:r>
      <w:r w:rsidR="00512BBD">
        <w:rPr>
          <w:rFonts w:ascii="Arial" w:hAnsi="Arial" w:cs="Arial"/>
          <w:sz w:val="24"/>
          <w:szCs w:val="24"/>
        </w:rPr>
        <w:t xml:space="preserve"> suggested by the local government pens</w:t>
      </w:r>
      <w:r w:rsidR="00122F3F">
        <w:rPr>
          <w:rFonts w:ascii="Arial" w:hAnsi="Arial" w:cs="Arial"/>
          <w:sz w:val="24"/>
          <w:szCs w:val="24"/>
        </w:rPr>
        <w:t>ion scheme advisory board</w:t>
      </w:r>
      <w:r w:rsidR="006F70B8">
        <w:rPr>
          <w:rFonts w:ascii="Arial" w:hAnsi="Arial" w:cs="Arial"/>
          <w:sz w:val="24"/>
          <w:szCs w:val="24"/>
        </w:rPr>
        <w:t>,</w:t>
      </w:r>
      <w:r w:rsidR="00122F3F">
        <w:rPr>
          <w:rFonts w:ascii="Arial" w:hAnsi="Arial" w:cs="Arial"/>
          <w:sz w:val="24"/>
          <w:szCs w:val="24"/>
        </w:rPr>
        <w:t xml:space="preserve"> which</w:t>
      </w:r>
      <w:r w:rsidR="00512BBD">
        <w:rPr>
          <w:rFonts w:ascii="Arial" w:hAnsi="Arial" w:cs="Arial"/>
          <w:sz w:val="24"/>
          <w:szCs w:val="24"/>
        </w:rPr>
        <w:t xml:space="preserve"> could add an estimate</w:t>
      </w:r>
      <w:r w:rsidR="00122F3F">
        <w:rPr>
          <w:rFonts w:ascii="Arial" w:hAnsi="Arial" w:cs="Arial"/>
          <w:sz w:val="24"/>
          <w:szCs w:val="24"/>
        </w:rPr>
        <w:t>d further 0.9% to</w:t>
      </w:r>
      <w:r w:rsidR="00512BBD">
        <w:rPr>
          <w:rFonts w:ascii="Arial" w:hAnsi="Arial" w:cs="Arial"/>
          <w:sz w:val="24"/>
          <w:szCs w:val="24"/>
        </w:rPr>
        <w:t xml:space="preserve"> authority payroll costs</w:t>
      </w:r>
      <w:r w:rsidR="004C58E5">
        <w:rPr>
          <w:rFonts w:ascii="Arial" w:hAnsi="Arial" w:cs="Arial"/>
          <w:sz w:val="24"/>
          <w:szCs w:val="24"/>
        </w:rPr>
        <w:t xml:space="preserve"> and will take effect from </w:t>
      </w:r>
      <w:r w:rsidR="006F70B8">
        <w:rPr>
          <w:rFonts w:ascii="Arial" w:hAnsi="Arial" w:cs="Arial"/>
          <w:sz w:val="24"/>
          <w:szCs w:val="24"/>
        </w:rPr>
        <w:t xml:space="preserve"> 2019-20</w:t>
      </w:r>
      <w:r w:rsidR="00675412">
        <w:rPr>
          <w:rFonts w:ascii="Arial" w:hAnsi="Arial" w:cs="Arial"/>
          <w:sz w:val="24"/>
          <w:szCs w:val="24"/>
        </w:rPr>
        <w:t>.</w:t>
      </w:r>
    </w:p>
    <w:p w:rsidR="0028053D" w:rsidRPr="0028053D" w:rsidRDefault="0028053D" w:rsidP="0028053D">
      <w:pPr>
        <w:pStyle w:val="ListParagraph"/>
        <w:rPr>
          <w:rFonts w:ascii="Arial" w:hAnsi="Arial" w:cs="Arial"/>
          <w:sz w:val="24"/>
          <w:szCs w:val="24"/>
        </w:rPr>
      </w:pPr>
    </w:p>
    <w:p w:rsidR="0028053D" w:rsidRDefault="00512BBD" w:rsidP="00E37473">
      <w:pPr>
        <w:pStyle w:val="ListParagraph"/>
        <w:numPr>
          <w:ilvl w:val="1"/>
          <w:numId w:val="1"/>
        </w:numPr>
        <w:spacing w:after="0"/>
        <w:ind w:left="426"/>
        <w:rPr>
          <w:rFonts w:ascii="Arial" w:hAnsi="Arial" w:cs="Arial"/>
          <w:sz w:val="24"/>
          <w:szCs w:val="24"/>
        </w:rPr>
      </w:pPr>
      <w:r>
        <w:rPr>
          <w:rFonts w:ascii="Arial" w:hAnsi="Arial" w:cs="Arial"/>
          <w:sz w:val="24"/>
          <w:szCs w:val="24"/>
        </w:rPr>
        <w:lastRenderedPageBreak/>
        <w:t>In addition</w:t>
      </w:r>
      <w:r w:rsidR="00122F3F">
        <w:rPr>
          <w:rFonts w:ascii="Arial" w:hAnsi="Arial" w:cs="Arial"/>
          <w:sz w:val="24"/>
          <w:szCs w:val="24"/>
        </w:rPr>
        <w:t>,</w:t>
      </w:r>
      <w:r>
        <w:rPr>
          <w:rFonts w:ascii="Arial" w:hAnsi="Arial" w:cs="Arial"/>
          <w:sz w:val="24"/>
          <w:szCs w:val="24"/>
        </w:rPr>
        <w:t xml:space="preserve"> </w:t>
      </w:r>
      <w:r w:rsidR="00675412">
        <w:rPr>
          <w:rFonts w:ascii="Arial" w:hAnsi="Arial" w:cs="Arial"/>
          <w:sz w:val="24"/>
          <w:szCs w:val="24"/>
        </w:rPr>
        <w:t>MH</w:t>
      </w:r>
      <w:r>
        <w:rPr>
          <w:rFonts w:ascii="Arial" w:hAnsi="Arial" w:cs="Arial"/>
          <w:sz w:val="24"/>
          <w:szCs w:val="24"/>
        </w:rPr>
        <w:t xml:space="preserve">CLGs information presented on Core Spending Power is misleading in that it includes </w:t>
      </w:r>
      <w:r w:rsidR="00A931E9">
        <w:rPr>
          <w:rFonts w:ascii="Arial" w:hAnsi="Arial" w:cs="Arial"/>
          <w:sz w:val="24"/>
          <w:szCs w:val="24"/>
        </w:rPr>
        <w:t>the department’s own</w:t>
      </w:r>
      <w:r>
        <w:rPr>
          <w:rFonts w:ascii="Arial" w:hAnsi="Arial" w:cs="Arial"/>
          <w:sz w:val="24"/>
          <w:szCs w:val="24"/>
        </w:rPr>
        <w:t xml:space="preserve"> projection of retained business rates rather than actual </w:t>
      </w:r>
      <w:r w:rsidR="00122F3F">
        <w:rPr>
          <w:rFonts w:ascii="Arial" w:hAnsi="Arial" w:cs="Arial"/>
          <w:sz w:val="24"/>
          <w:szCs w:val="24"/>
        </w:rPr>
        <w:t>business rate earnings</w:t>
      </w:r>
      <w:r w:rsidR="004E5258">
        <w:rPr>
          <w:rFonts w:ascii="Arial" w:hAnsi="Arial" w:cs="Arial"/>
          <w:sz w:val="24"/>
          <w:szCs w:val="24"/>
        </w:rPr>
        <w:t>.</w:t>
      </w:r>
    </w:p>
    <w:p w:rsidR="0028053D" w:rsidRPr="0028053D" w:rsidRDefault="0028053D" w:rsidP="0028053D">
      <w:pPr>
        <w:pStyle w:val="ListParagraph"/>
        <w:rPr>
          <w:rFonts w:ascii="Arial" w:hAnsi="Arial" w:cs="Arial"/>
          <w:sz w:val="24"/>
          <w:szCs w:val="24"/>
        </w:rPr>
      </w:pPr>
    </w:p>
    <w:p w:rsidR="0028053D" w:rsidRDefault="004E5258" w:rsidP="00E37473">
      <w:pPr>
        <w:pStyle w:val="ListParagraph"/>
        <w:numPr>
          <w:ilvl w:val="1"/>
          <w:numId w:val="1"/>
        </w:numPr>
        <w:spacing w:after="0"/>
        <w:ind w:left="426"/>
        <w:rPr>
          <w:rFonts w:ascii="Arial" w:hAnsi="Arial" w:cs="Arial"/>
          <w:sz w:val="24"/>
          <w:szCs w:val="24"/>
        </w:rPr>
      </w:pPr>
      <w:r>
        <w:rPr>
          <w:rFonts w:ascii="Arial" w:hAnsi="Arial" w:cs="Arial"/>
          <w:sz w:val="24"/>
          <w:szCs w:val="24"/>
        </w:rPr>
        <w:t>MHCLGS own data showed that in 2016-17 there was a wide variation between the amount of settlement funding implied in the core spending power figures</w:t>
      </w:r>
      <w:r w:rsidR="00122F3F">
        <w:rPr>
          <w:rFonts w:ascii="Arial" w:hAnsi="Arial" w:cs="Arial"/>
          <w:sz w:val="24"/>
          <w:szCs w:val="24"/>
        </w:rPr>
        <w:t xml:space="preserve"> and the amount actually earned, </w:t>
      </w:r>
      <w:r w:rsidR="00D957BA">
        <w:rPr>
          <w:rFonts w:ascii="Arial" w:hAnsi="Arial" w:cs="Arial"/>
          <w:sz w:val="24"/>
          <w:szCs w:val="24"/>
        </w:rPr>
        <w:t>increasing</w:t>
      </w:r>
      <w:r w:rsidR="00952718">
        <w:rPr>
          <w:rFonts w:ascii="Arial" w:hAnsi="Arial" w:cs="Arial"/>
          <w:sz w:val="24"/>
          <w:szCs w:val="24"/>
        </w:rPr>
        <w:t xml:space="preserve"> </w:t>
      </w:r>
      <w:r>
        <w:rPr>
          <w:rFonts w:ascii="Arial" w:hAnsi="Arial" w:cs="Arial"/>
          <w:sz w:val="24"/>
          <w:szCs w:val="24"/>
        </w:rPr>
        <w:t>the funding gap between authorities.</w:t>
      </w:r>
    </w:p>
    <w:p w:rsidR="004E5258" w:rsidRPr="004E5258" w:rsidRDefault="004E5258" w:rsidP="004E5258">
      <w:pPr>
        <w:pStyle w:val="ListParagraph"/>
        <w:rPr>
          <w:rFonts w:ascii="Arial" w:hAnsi="Arial" w:cs="Arial"/>
          <w:sz w:val="24"/>
          <w:szCs w:val="24"/>
        </w:rPr>
      </w:pPr>
    </w:p>
    <w:p w:rsidR="004E5258" w:rsidRDefault="004E5258" w:rsidP="004E5258">
      <w:pPr>
        <w:pStyle w:val="ListParagraph"/>
        <w:spacing w:after="0"/>
        <w:ind w:left="426"/>
        <w:rPr>
          <w:rFonts w:ascii="Arial" w:hAnsi="Arial" w:cs="Arial"/>
          <w:sz w:val="24"/>
          <w:szCs w:val="24"/>
        </w:rPr>
      </w:pPr>
      <w:r>
        <w:rPr>
          <w:rFonts w:ascii="Arial" w:hAnsi="Arial" w:cs="Arial"/>
          <w:sz w:val="24"/>
          <w:szCs w:val="24"/>
        </w:rPr>
        <w:t>The following box plot shows our estimates of va</w:t>
      </w:r>
      <w:r w:rsidR="00816E39">
        <w:rPr>
          <w:rFonts w:ascii="Arial" w:hAnsi="Arial" w:cs="Arial"/>
          <w:sz w:val="24"/>
          <w:szCs w:val="24"/>
        </w:rPr>
        <w:t xml:space="preserve">riation in settlement funding </w:t>
      </w:r>
      <w:r w:rsidR="00795C14">
        <w:rPr>
          <w:rFonts w:ascii="Arial" w:hAnsi="Arial" w:cs="Arial"/>
          <w:sz w:val="24"/>
          <w:szCs w:val="24"/>
        </w:rPr>
        <w:t xml:space="preserve">if NNDR1s are used rather than Government </w:t>
      </w:r>
      <w:r w:rsidR="006F70B8">
        <w:rPr>
          <w:rFonts w:ascii="Arial" w:hAnsi="Arial" w:cs="Arial"/>
          <w:sz w:val="24"/>
          <w:szCs w:val="24"/>
        </w:rPr>
        <w:t xml:space="preserve">SFA </w:t>
      </w:r>
      <w:r w:rsidR="00795C14">
        <w:rPr>
          <w:rFonts w:ascii="Arial" w:hAnsi="Arial" w:cs="Arial"/>
          <w:sz w:val="24"/>
          <w:szCs w:val="24"/>
        </w:rPr>
        <w:t>estimates.</w:t>
      </w:r>
    </w:p>
    <w:p w:rsidR="00A931E9" w:rsidRDefault="00A931E9" w:rsidP="004E5258">
      <w:pPr>
        <w:pStyle w:val="ListParagraph"/>
        <w:spacing w:after="0"/>
        <w:ind w:left="426"/>
        <w:rPr>
          <w:rFonts w:ascii="Arial" w:hAnsi="Arial" w:cs="Arial"/>
          <w:sz w:val="24"/>
          <w:szCs w:val="24"/>
          <w:u w:val="single"/>
        </w:rPr>
      </w:pPr>
    </w:p>
    <w:p w:rsidR="00795C14" w:rsidRPr="00ED2F89" w:rsidRDefault="00795C14" w:rsidP="004E5258">
      <w:pPr>
        <w:pStyle w:val="ListParagraph"/>
        <w:spacing w:after="0"/>
        <w:ind w:left="426"/>
        <w:rPr>
          <w:rFonts w:ascii="Arial" w:hAnsi="Arial" w:cs="Arial"/>
          <w:sz w:val="24"/>
          <w:szCs w:val="24"/>
          <w:u w:val="single"/>
        </w:rPr>
      </w:pPr>
      <w:r w:rsidRPr="00ED2F89">
        <w:rPr>
          <w:rFonts w:ascii="Arial" w:hAnsi="Arial" w:cs="Arial"/>
          <w:sz w:val="24"/>
          <w:szCs w:val="24"/>
          <w:u w:val="single"/>
        </w:rPr>
        <w:t xml:space="preserve">Authority level variations – “actual” </w:t>
      </w:r>
      <w:r w:rsidR="00ED2F89" w:rsidRPr="00ED2F89">
        <w:rPr>
          <w:rFonts w:ascii="Arial" w:hAnsi="Arial" w:cs="Arial"/>
          <w:sz w:val="24"/>
          <w:szCs w:val="24"/>
          <w:u w:val="single"/>
        </w:rPr>
        <w:t>Settlement Funding to CSP illustration</w:t>
      </w:r>
    </w:p>
    <w:p w:rsidR="00795C14" w:rsidRDefault="00795C14" w:rsidP="004E5258">
      <w:pPr>
        <w:pStyle w:val="ListParagraph"/>
        <w:spacing w:after="0"/>
        <w:ind w:left="426"/>
        <w:rPr>
          <w:rFonts w:ascii="Arial" w:hAnsi="Arial" w:cs="Arial"/>
          <w:sz w:val="24"/>
          <w:szCs w:val="24"/>
        </w:rPr>
      </w:pPr>
      <w:r>
        <w:rPr>
          <w:rFonts w:ascii="Arial" w:hAnsi="Arial" w:cs="Arial"/>
          <w:noProof/>
          <w:sz w:val="24"/>
          <w:szCs w:val="24"/>
          <w:lang w:eastAsia="en-GB"/>
        </w:rPr>
        <w:drawing>
          <wp:inline distT="0" distB="0" distL="0" distR="0" wp14:anchorId="2C0B2F67">
            <wp:extent cx="4482038" cy="2362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5374" cy="2363958"/>
                    </a:xfrm>
                    <a:prstGeom prst="rect">
                      <a:avLst/>
                    </a:prstGeom>
                    <a:noFill/>
                  </pic:spPr>
                </pic:pic>
              </a:graphicData>
            </a:graphic>
          </wp:inline>
        </w:drawing>
      </w:r>
    </w:p>
    <w:p w:rsidR="004E5258" w:rsidRPr="00795C14" w:rsidRDefault="00795C14" w:rsidP="00795C14">
      <w:pPr>
        <w:spacing w:after="0"/>
        <w:rPr>
          <w:rFonts w:ascii="Arial" w:hAnsi="Arial" w:cs="Arial"/>
          <w:sz w:val="16"/>
          <w:szCs w:val="16"/>
        </w:rPr>
      </w:pPr>
      <w:r w:rsidRPr="00795C14">
        <w:rPr>
          <w:rFonts w:ascii="Arial" w:hAnsi="Arial" w:cs="Arial"/>
          <w:sz w:val="16"/>
          <w:szCs w:val="16"/>
        </w:rPr>
        <w:t xml:space="preserve"> D</w:t>
      </w:r>
      <w:r>
        <w:rPr>
          <w:rFonts w:ascii="Arial" w:hAnsi="Arial" w:cs="Arial"/>
          <w:sz w:val="16"/>
          <w:szCs w:val="16"/>
        </w:rPr>
        <w:t>er</w:t>
      </w:r>
      <w:r w:rsidRPr="00795C14">
        <w:rPr>
          <w:rFonts w:ascii="Arial" w:hAnsi="Arial" w:cs="Arial"/>
          <w:sz w:val="16"/>
          <w:szCs w:val="16"/>
        </w:rPr>
        <w:t>ived from MHCLG tables on NNDR returns and incorporating S31 compensation</w:t>
      </w:r>
    </w:p>
    <w:p w:rsidR="0028053D" w:rsidRPr="0028053D" w:rsidRDefault="0028053D" w:rsidP="0028053D">
      <w:pPr>
        <w:pStyle w:val="ListParagraph"/>
        <w:rPr>
          <w:rFonts w:ascii="Arial" w:hAnsi="Arial" w:cs="Arial"/>
          <w:sz w:val="24"/>
          <w:szCs w:val="24"/>
        </w:rPr>
      </w:pPr>
    </w:p>
    <w:p w:rsidR="00B41C80" w:rsidRPr="00B41C80" w:rsidRDefault="00B41C80" w:rsidP="00B41C80">
      <w:pPr>
        <w:pStyle w:val="ListParagraph"/>
        <w:numPr>
          <w:ilvl w:val="1"/>
          <w:numId w:val="1"/>
        </w:numPr>
        <w:spacing w:after="0"/>
        <w:ind w:left="426"/>
        <w:rPr>
          <w:rFonts w:ascii="Arial" w:hAnsi="Arial" w:cs="Arial"/>
          <w:sz w:val="24"/>
          <w:szCs w:val="24"/>
        </w:rPr>
      </w:pPr>
      <w:r>
        <w:rPr>
          <w:rFonts w:ascii="Arial" w:hAnsi="Arial" w:cs="Arial"/>
          <w:sz w:val="24"/>
          <w:szCs w:val="24"/>
        </w:rPr>
        <w:t>We share the disappointment of most of our colleagues that the Department is unable to give even an indicative value for overall local government funding beyond 1 April 2020.</w:t>
      </w:r>
      <w:r w:rsidR="00C5645F">
        <w:rPr>
          <w:rFonts w:ascii="Arial" w:hAnsi="Arial" w:cs="Arial"/>
          <w:sz w:val="24"/>
          <w:szCs w:val="24"/>
        </w:rPr>
        <w:t xml:space="preserve"> </w:t>
      </w:r>
      <w:r>
        <w:rPr>
          <w:rFonts w:ascii="Arial" w:hAnsi="Arial" w:cs="Arial"/>
          <w:sz w:val="24"/>
          <w:szCs w:val="24"/>
        </w:rPr>
        <w:t>With no spending</w:t>
      </w:r>
      <w:r w:rsidR="006F70B8">
        <w:rPr>
          <w:rFonts w:ascii="Arial" w:hAnsi="Arial" w:cs="Arial"/>
          <w:sz w:val="24"/>
          <w:szCs w:val="24"/>
        </w:rPr>
        <w:t xml:space="preserve"> review imminent</w:t>
      </w:r>
      <w:r w:rsidR="00A931E9">
        <w:rPr>
          <w:rFonts w:ascii="Arial" w:hAnsi="Arial" w:cs="Arial"/>
          <w:sz w:val="24"/>
          <w:szCs w:val="24"/>
        </w:rPr>
        <w:t>,</w:t>
      </w:r>
      <w:r w:rsidR="006F70B8">
        <w:rPr>
          <w:rFonts w:ascii="Arial" w:hAnsi="Arial" w:cs="Arial"/>
          <w:sz w:val="24"/>
          <w:szCs w:val="24"/>
        </w:rPr>
        <w:t xml:space="preserve"> Councils </w:t>
      </w:r>
      <w:r>
        <w:rPr>
          <w:rFonts w:ascii="Arial" w:hAnsi="Arial" w:cs="Arial"/>
          <w:sz w:val="24"/>
          <w:szCs w:val="24"/>
        </w:rPr>
        <w:t xml:space="preserve">face </w:t>
      </w:r>
      <w:r w:rsidR="00ED2F89">
        <w:rPr>
          <w:rFonts w:ascii="Arial" w:hAnsi="Arial" w:cs="Arial"/>
          <w:sz w:val="24"/>
          <w:szCs w:val="24"/>
        </w:rPr>
        <w:t>the prospect of funding for the following year remaining unknown until December 2019.</w:t>
      </w:r>
    </w:p>
    <w:p w:rsidR="0028053D" w:rsidRPr="0028053D" w:rsidRDefault="0028053D" w:rsidP="0028053D">
      <w:pPr>
        <w:pStyle w:val="ListParagraph"/>
        <w:rPr>
          <w:rFonts w:ascii="Arial" w:hAnsi="Arial" w:cs="Arial"/>
          <w:sz w:val="24"/>
          <w:szCs w:val="24"/>
        </w:rPr>
      </w:pPr>
    </w:p>
    <w:p w:rsidR="0028053D" w:rsidRDefault="00ED2F89" w:rsidP="00E37473">
      <w:pPr>
        <w:pStyle w:val="ListParagraph"/>
        <w:numPr>
          <w:ilvl w:val="1"/>
          <w:numId w:val="1"/>
        </w:numPr>
        <w:spacing w:after="0"/>
        <w:ind w:left="426"/>
        <w:rPr>
          <w:rFonts w:ascii="Arial" w:hAnsi="Arial" w:cs="Arial"/>
          <w:sz w:val="24"/>
          <w:szCs w:val="24"/>
        </w:rPr>
      </w:pPr>
      <w:r>
        <w:rPr>
          <w:rFonts w:ascii="Arial" w:hAnsi="Arial" w:cs="Arial"/>
          <w:sz w:val="24"/>
          <w:szCs w:val="24"/>
        </w:rPr>
        <w:t>We suggest that the Department reappraises its plans for RSG in light of those worst affected in terms of Core Spending Power, not RSG reduction.</w:t>
      </w:r>
    </w:p>
    <w:p w:rsidR="0028053D" w:rsidRPr="0028053D" w:rsidRDefault="0028053D" w:rsidP="0028053D">
      <w:pPr>
        <w:pStyle w:val="ListParagraph"/>
        <w:rPr>
          <w:rFonts w:ascii="Arial" w:hAnsi="Arial" w:cs="Arial"/>
          <w:sz w:val="24"/>
          <w:szCs w:val="24"/>
        </w:rPr>
      </w:pPr>
    </w:p>
    <w:p w:rsidR="0028053D" w:rsidRPr="00ED2F89" w:rsidRDefault="00ED2F89" w:rsidP="00ED2F89">
      <w:pPr>
        <w:pStyle w:val="ListParagraph"/>
        <w:numPr>
          <w:ilvl w:val="0"/>
          <w:numId w:val="1"/>
        </w:numPr>
        <w:spacing w:after="0"/>
        <w:ind w:left="378"/>
        <w:rPr>
          <w:rFonts w:ascii="Arial" w:hAnsi="Arial" w:cs="Arial"/>
          <w:b/>
          <w:sz w:val="24"/>
          <w:szCs w:val="24"/>
        </w:rPr>
      </w:pPr>
      <w:r w:rsidRPr="00ED2F89">
        <w:rPr>
          <w:rFonts w:ascii="Arial" w:hAnsi="Arial" w:cs="Arial"/>
          <w:b/>
          <w:sz w:val="24"/>
          <w:szCs w:val="24"/>
        </w:rPr>
        <w:t>Question 2: Do you agree with the Government</w:t>
      </w:r>
      <w:r w:rsidR="00394257">
        <w:rPr>
          <w:rFonts w:ascii="Arial" w:hAnsi="Arial" w:cs="Arial"/>
          <w:b/>
          <w:sz w:val="24"/>
          <w:szCs w:val="24"/>
        </w:rPr>
        <w:t>’</w:t>
      </w:r>
      <w:r w:rsidRPr="00ED2F89">
        <w:rPr>
          <w:rFonts w:ascii="Arial" w:hAnsi="Arial" w:cs="Arial"/>
          <w:b/>
          <w:sz w:val="24"/>
          <w:szCs w:val="24"/>
        </w:rPr>
        <w:t xml:space="preserve">s proposed approach to allocating £410 million un ringfenced funding for adult social and </w:t>
      </w:r>
      <w:r w:rsidR="006F70B8" w:rsidRPr="00ED2F89">
        <w:rPr>
          <w:rFonts w:ascii="Arial" w:hAnsi="Arial" w:cs="Arial"/>
          <w:b/>
          <w:sz w:val="24"/>
          <w:szCs w:val="24"/>
        </w:rPr>
        <w:t>children’s</w:t>
      </w:r>
      <w:r w:rsidRPr="00ED2F89">
        <w:rPr>
          <w:rFonts w:ascii="Arial" w:hAnsi="Arial" w:cs="Arial"/>
          <w:b/>
          <w:sz w:val="24"/>
          <w:szCs w:val="24"/>
        </w:rPr>
        <w:t xml:space="preserve"> social care according to the existing Adult Social Care Relative Needs Formula</w:t>
      </w:r>
    </w:p>
    <w:p w:rsidR="0028053D" w:rsidRPr="0028053D" w:rsidRDefault="0028053D" w:rsidP="0028053D">
      <w:pPr>
        <w:pStyle w:val="ListParagraph"/>
        <w:rPr>
          <w:rFonts w:ascii="Arial" w:hAnsi="Arial" w:cs="Arial"/>
          <w:sz w:val="24"/>
          <w:szCs w:val="24"/>
        </w:rPr>
      </w:pPr>
    </w:p>
    <w:p w:rsidR="00ED2F89" w:rsidRDefault="00ED2F89" w:rsidP="00E37473">
      <w:pPr>
        <w:pStyle w:val="ListParagraph"/>
        <w:numPr>
          <w:ilvl w:val="1"/>
          <w:numId w:val="1"/>
        </w:numPr>
        <w:spacing w:after="0"/>
        <w:ind w:left="426"/>
        <w:rPr>
          <w:rFonts w:ascii="Arial" w:hAnsi="Arial" w:cs="Arial"/>
          <w:sz w:val="24"/>
          <w:szCs w:val="24"/>
        </w:rPr>
      </w:pPr>
      <w:r>
        <w:rPr>
          <w:rFonts w:ascii="Arial" w:hAnsi="Arial" w:cs="Arial"/>
          <w:sz w:val="24"/>
          <w:szCs w:val="24"/>
        </w:rPr>
        <w:t xml:space="preserve">Additional funds allocated on a needs basis will always be welcome. </w:t>
      </w:r>
    </w:p>
    <w:p w:rsidR="00ED2F89" w:rsidRDefault="00ED2F89" w:rsidP="00ED2F89">
      <w:pPr>
        <w:pStyle w:val="ListParagraph"/>
        <w:spacing w:after="0"/>
        <w:ind w:left="426"/>
        <w:rPr>
          <w:rFonts w:ascii="Arial" w:hAnsi="Arial" w:cs="Arial"/>
          <w:sz w:val="24"/>
          <w:szCs w:val="24"/>
        </w:rPr>
      </w:pPr>
    </w:p>
    <w:p w:rsidR="0028053D" w:rsidRDefault="00ED2F89" w:rsidP="00E37473">
      <w:pPr>
        <w:pStyle w:val="ListParagraph"/>
        <w:numPr>
          <w:ilvl w:val="1"/>
          <w:numId w:val="1"/>
        </w:numPr>
        <w:spacing w:after="0"/>
        <w:ind w:left="426"/>
        <w:rPr>
          <w:rFonts w:ascii="Arial" w:hAnsi="Arial" w:cs="Arial"/>
          <w:sz w:val="24"/>
          <w:szCs w:val="24"/>
        </w:rPr>
      </w:pPr>
      <w:r>
        <w:rPr>
          <w:rFonts w:ascii="Arial" w:hAnsi="Arial" w:cs="Arial"/>
          <w:sz w:val="24"/>
          <w:szCs w:val="24"/>
        </w:rPr>
        <w:t xml:space="preserve">The </w:t>
      </w:r>
      <w:r w:rsidR="009815B8">
        <w:rPr>
          <w:rFonts w:ascii="Arial" w:hAnsi="Arial" w:cs="Arial"/>
          <w:sz w:val="24"/>
          <w:szCs w:val="24"/>
        </w:rPr>
        <w:t xml:space="preserve">accompanying </w:t>
      </w:r>
      <w:r>
        <w:rPr>
          <w:rFonts w:ascii="Arial" w:hAnsi="Arial" w:cs="Arial"/>
          <w:sz w:val="24"/>
          <w:szCs w:val="24"/>
        </w:rPr>
        <w:t>statement</w:t>
      </w:r>
      <w:r w:rsidR="009815B8">
        <w:rPr>
          <w:rFonts w:ascii="Arial" w:hAnsi="Arial" w:cs="Arial"/>
          <w:sz w:val="24"/>
          <w:szCs w:val="24"/>
        </w:rPr>
        <w:t>,</w:t>
      </w:r>
      <w:r>
        <w:rPr>
          <w:rFonts w:ascii="Arial" w:hAnsi="Arial" w:cs="Arial"/>
          <w:sz w:val="24"/>
          <w:szCs w:val="24"/>
        </w:rPr>
        <w:t xml:space="preserve"> that this </w:t>
      </w:r>
      <w:r w:rsidR="00D957BA">
        <w:rPr>
          <w:rFonts w:ascii="Arial" w:hAnsi="Arial" w:cs="Arial"/>
          <w:sz w:val="24"/>
          <w:szCs w:val="24"/>
        </w:rPr>
        <w:t xml:space="preserve">funding </w:t>
      </w:r>
      <w:r>
        <w:rPr>
          <w:rFonts w:ascii="Arial" w:hAnsi="Arial" w:cs="Arial"/>
          <w:sz w:val="24"/>
          <w:szCs w:val="24"/>
        </w:rPr>
        <w:t>covers both adult and children</w:t>
      </w:r>
      <w:r w:rsidR="0046061F">
        <w:rPr>
          <w:rFonts w:ascii="Arial" w:hAnsi="Arial" w:cs="Arial"/>
          <w:sz w:val="24"/>
          <w:szCs w:val="24"/>
        </w:rPr>
        <w:t>’</w:t>
      </w:r>
      <w:r w:rsidR="00ED2B6C">
        <w:rPr>
          <w:rFonts w:ascii="Arial" w:hAnsi="Arial" w:cs="Arial"/>
          <w:sz w:val="24"/>
          <w:szCs w:val="24"/>
        </w:rPr>
        <w:t>s care</w:t>
      </w:r>
      <w:r>
        <w:rPr>
          <w:rFonts w:ascii="Arial" w:hAnsi="Arial" w:cs="Arial"/>
          <w:sz w:val="24"/>
          <w:szCs w:val="24"/>
        </w:rPr>
        <w:t xml:space="preserve"> </w:t>
      </w:r>
      <w:r w:rsidR="0046061F">
        <w:rPr>
          <w:rFonts w:ascii="Arial" w:hAnsi="Arial" w:cs="Arial"/>
          <w:sz w:val="24"/>
          <w:szCs w:val="24"/>
        </w:rPr>
        <w:t>pressures</w:t>
      </w:r>
      <w:r w:rsidR="00ED2B6C">
        <w:rPr>
          <w:rFonts w:ascii="Arial" w:hAnsi="Arial" w:cs="Arial"/>
          <w:sz w:val="24"/>
          <w:szCs w:val="24"/>
        </w:rPr>
        <w:t>,</w:t>
      </w:r>
      <w:r w:rsidR="0046061F">
        <w:rPr>
          <w:rFonts w:ascii="Arial" w:hAnsi="Arial" w:cs="Arial"/>
          <w:sz w:val="24"/>
          <w:szCs w:val="24"/>
        </w:rPr>
        <w:t xml:space="preserve"> </w:t>
      </w:r>
      <w:r w:rsidR="00ED2B6C">
        <w:rPr>
          <w:rFonts w:ascii="Arial" w:hAnsi="Arial" w:cs="Arial"/>
          <w:sz w:val="24"/>
          <w:szCs w:val="24"/>
        </w:rPr>
        <w:t xml:space="preserve">however, </w:t>
      </w:r>
      <w:r w:rsidR="0046061F">
        <w:rPr>
          <w:rFonts w:ascii="Arial" w:hAnsi="Arial" w:cs="Arial"/>
          <w:sz w:val="24"/>
          <w:szCs w:val="24"/>
        </w:rPr>
        <w:t xml:space="preserve">seems </w:t>
      </w:r>
      <w:r w:rsidR="00D957BA">
        <w:rPr>
          <w:rFonts w:ascii="Arial" w:hAnsi="Arial" w:cs="Arial"/>
          <w:sz w:val="24"/>
          <w:szCs w:val="24"/>
        </w:rPr>
        <w:t>aimed more towards</w:t>
      </w:r>
      <w:r w:rsidR="0046061F">
        <w:rPr>
          <w:rFonts w:ascii="Arial" w:hAnsi="Arial" w:cs="Arial"/>
          <w:sz w:val="24"/>
          <w:szCs w:val="24"/>
        </w:rPr>
        <w:t xml:space="preserve"> members of the public</w:t>
      </w:r>
      <w:r w:rsidR="00ED2B6C">
        <w:rPr>
          <w:rFonts w:ascii="Arial" w:hAnsi="Arial" w:cs="Arial"/>
          <w:sz w:val="24"/>
          <w:szCs w:val="24"/>
        </w:rPr>
        <w:t xml:space="preserve"> or </w:t>
      </w:r>
      <w:r w:rsidR="00ED2B6C">
        <w:rPr>
          <w:rFonts w:ascii="Arial" w:hAnsi="Arial" w:cs="Arial"/>
          <w:sz w:val="24"/>
          <w:szCs w:val="24"/>
        </w:rPr>
        <w:lastRenderedPageBreak/>
        <w:t>national press</w:t>
      </w:r>
      <w:r w:rsidR="00515705">
        <w:rPr>
          <w:rFonts w:ascii="Arial" w:hAnsi="Arial" w:cs="Arial"/>
          <w:sz w:val="24"/>
          <w:szCs w:val="24"/>
        </w:rPr>
        <w:t>.</w:t>
      </w:r>
      <w:r w:rsidR="00816E39">
        <w:rPr>
          <w:rFonts w:ascii="Arial" w:hAnsi="Arial" w:cs="Arial"/>
          <w:sz w:val="24"/>
          <w:szCs w:val="24"/>
        </w:rPr>
        <w:t xml:space="preserve"> </w:t>
      </w:r>
      <w:r w:rsidR="00515705">
        <w:rPr>
          <w:rFonts w:ascii="Arial" w:hAnsi="Arial" w:cs="Arial"/>
          <w:sz w:val="24"/>
          <w:szCs w:val="24"/>
        </w:rPr>
        <w:t>L</w:t>
      </w:r>
      <w:r w:rsidR="00816E39">
        <w:rPr>
          <w:rFonts w:ascii="Arial" w:hAnsi="Arial" w:cs="Arial"/>
          <w:sz w:val="24"/>
          <w:szCs w:val="24"/>
        </w:rPr>
        <w:t>ocal authorities must view</w:t>
      </w:r>
      <w:r w:rsidR="00ED2B6C">
        <w:rPr>
          <w:rFonts w:ascii="Arial" w:hAnsi="Arial" w:cs="Arial"/>
          <w:sz w:val="24"/>
          <w:szCs w:val="24"/>
        </w:rPr>
        <w:t xml:space="preserve"> the announcement in context</w:t>
      </w:r>
      <w:r w:rsidR="00816E39">
        <w:rPr>
          <w:rFonts w:ascii="Arial" w:hAnsi="Arial" w:cs="Arial"/>
          <w:sz w:val="24"/>
          <w:szCs w:val="24"/>
        </w:rPr>
        <w:t xml:space="preserve"> of the size of service costs</w:t>
      </w:r>
      <w:r w:rsidR="00ED2B6C">
        <w:rPr>
          <w:rFonts w:ascii="Arial" w:hAnsi="Arial" w:cs="Arial"/>
          <w:sz w:val="24"/>
          <w:szCs w:val="24"/>
        </w:rPr>
        <w:t>.</w:t>
      </w:r>
    </w:p>
    <w:p w:rsidR="0028053D" w:rsidRPr="0028053D" w:rsidRDefault="0028053D" w:rsidP="0028053D">
      <w:pPr>
        <w:pStyle w:val="ListParagraph"/>
        <w:rPr>
          <w:rFonts w:ascii="Arial" w:hAnsi="Arial" w:cs="Arial"/>
          <w:sz w:val="24"/>
          <w:szCs w:val="24"/>
        </w:rPr>
      </w:pPr>
    </w:p>
    <w:p w:rsidR="0028053D" w:rsidRDefault="0046061F" w:rsidP="00E37473">
      <w:pPr>
        <w:pStyle w:val="ListParagraph"/>
        <w:numPr>
          <w:ilvl w:val="1"/>
          <w:numId w:val="1"/>
        </w:numPr>
        <w:spacing w:after="0"/>
        <w:ind w:left="426"/>
        <w:rPr>
          <w:rFonts w:ascii="Arial" w:hAnsi="Arial" w:cs="Arial"/>
          <w:sz w:val="24"/>
          <w:szCs w:val="24"/>
        </w:rPr>
      </w:pPr>
      <w:r>
        <w:rPr>
          <w:rFonts w:ascii="Arial" w:hAnsi="Arial" w:cs="Arial"/>
          <w:sz w:val="24"/>
          <w:szCs w:val="24"/>
        </w:rPr>
        <w:t xml:space="preserve">Children’s services including other education services is currently budgeted at £11,441 million </w:t>
      </w:r>
      <w:r w:rsidR="00ED2B6C">
        <w:rPr>
          <w:rFonts w:ascii="Arial" w:hAnsi="Arial" w:cs="Arial"/>
          <w:sz w:val="24"/>
          <w:szCs w:val="24"/>
        </w:rPr>
        <w:t xml:space="preserve">per annum </w:t>
      </w:r>
      <w:r>
        <w:rPr>
          <w:rFonts w:ascii="Arial" w:hAnsi="Arial" w:cs="Arial"/>
          <w:sz w:val="24"/>
          <w:szCs w:val="24"/>
        </w:rPr>
        <w:t>whilst adult social care is budgeted at £16,119</w:t>
      </w:r>
      <w:r w:rsidR="00ED2B6C">
        <w:rPr>
          <w:rFonts w:ascii="Arial" w:hAnsi="Arial" w:cs="Arial"/>
          <w:sz w:val="24"/>
          <w:szCs w:val="24"/>
        </w:rPr>
        <w:t xml:space="preserve"> million,</w:t>
      </w:r>
      <w:r>
        <w:rPr>
          <w:rFonts w:ascii="Arial" w:hAnsi="Arial" w:cs="Arial"/>
          <w:sz w:val="24"/>
          <w:szCs w:val="24"/>
        </w:rPr>
        <w:t xml:space="preserve"> </w:t>
      </w:r>
      <w:r w:rsidR="00ED2B6C">
        <w:rPr>
          <w:rFonts w:ascii="Arial" w:hAnsi="Arial" w:cs="Arial"/>
          <w:sz w:val="24"/>
          <w:szCs w:val="24"/>
        </w:rPr>
        <w:t>a</w:t>
      </w:r>
      <w:r>
        <w:rPr>
          <w:rFonts w:ascii="Arial" w:hAnsi="Arial" w:cs="Arial"/>
          <w:sz w:val="24"/>
          <w:szCs w:val="24"/>
        </w:rPr>
        <w:t xml:space="preserve"> total of £27,560 million</w:t>
      </w:r>
      <w:r w:rsidR="00ED2B6C">
        <w:rPr>
          <w:rFonts w:ascii="Arial" w:hAnsi="Arial" w:cs="Arial"/>
          <w:sz w:val="24"/>
          <w:szCs w:val="24"/>
        </w:rPr>
        <w:t>. T</w:t>
      </w:r>
      <w:r>
        <w:rPr>
          <w:rFonts w:ascii="Arial" w:hAnsi="Arial" w:cs="Arial"/>
          <w:sz w:val="24"/>
          <w:szCs w:val="24"/>
        </w:rPr>
        <w:t xml:space="preserve">herefore the </w:t>
      </w:r>
      <w:r w:rsidR="00816E39">
        <w:rPr>
          <w:rFonts w:ascii="Arial" w:hAnsi="Arial" w:cs="Arial"/>
          <w:sz w:val="24"/>
          <w:szCs w:val="24"/>
        </w:rPr>
        <w:t xml:space="preserve">additional funding </w:t>
      </w:r>
      <w:proofErr w:type="gramStart"/>
      <w:r w:rsidR="00816E39">
        <w:rPr>
          <w:rFonts w:ascii="Arial" w:hAnsi="Arial" w:cs="Arial"/>
          <w:sz w:val="24"/>
          <w:szCs w:val="24"/>
        </w:rPr>
        <w:t xml:space="preserve">represents </w:t>
      </w:r>
      <w:r>
        <w:rPr>
          <w:rFonts w:ascii="Arial" w:hAnsi="Arial" w:cs="Arial"/>
          <w:sz w:val="24"/>
          <w:szCs w:val="24"/>
        </w:rPr>
        <w:t xml:space="preserve"> additional</w:t>
      </w:r>
      <w:proofErr w:type="gramEnd"/>
      <w:r w:rsidR="00A8386A">
        <w:rPr>
          <w:rFonts w:ascii="Arial" w:hAnsi="Arial" w:cs="Arial"/>
          <w:sz w:val="24"/>
          <w:szCs w:val="24"/>
        </w:rPr>
        <w:t xml:space="preserve"> one-</w:t>
      </w:r>
      <w:r w:rsidR="006F70B8">
        <w:rPr>
          <w:rFonts w:ascii="Arial" w:hAnsi="Arial" w:cs="Arial"/>
          <w:sz w:val="24"/>
          <w:szCs w:val="24"/>
        </w:rPr>
        <w:t>off funding of</w:t>
      </w:r>
      <w:r>
        <w:rPr>
          <w:rFonts w:ascii="Arial" w:hAnsi="Arial" w:cs="Arial"/>
          <w:sz w:val="24"/>
          <w:szCs w:val="24"/>
        </w:rPr>
        <w:t xml:space="preserve"> 1.5 pence for every £1 of council spend</w:t>
      </w:r>
      <w:r w:rsidR="00515705">
        <w:rPr>
          <w:rFonts w:ascii="Arial" w:hAnsi="Arial" w:cs="Arial"/>
          <w:sz w:val="24"/>
          <w:szCs w:val="24"/>
        </w:rPr>
        <w:t>.</w:t>
      </w:r>
    </w:p>
    <w:p w:rsidR="0028053D" w:rsidRPr="0028053D" w:rsidRDefault="0028053D" w:rsidP="0028053D">
      <w:pPr>
        <w:pStyle w:val="ListParagraph"/>
        <w:rPr>
          <w:rFonts w:ascii="Arial" w:hAnsi="Arial" w:cs="Arial"/>
          <w:sz w:val="24"/>
          <w:szCs w:val="24"/>
        </w:rPr>
      </w:pPr>
    </w:p>
    <w:p w:rsidR="0028053D" w:rsidRDefault="00ED2B6C" w:rsidP="00E37473">
      <w:pPr>
        <w:pStyle w:val="ListParagraph"/>
        <w:numPr>
          <w:ilvl w:val="1"/>
          <w:numId w:val="1"/>
        </w:numPr>
        <w:spacing w:after="0"/>
        <w:ind w:left="426"/>
        <w:rPr>
          <w:rFonts w:ascii="Arial" w:hAnsi="Arial" w:cs="Arial"/>
          <w:sz w:val="24"/>
          <w:szCs w:val="24"/>
        </w:rPr>
      </w:pPr>
      <w:r>
        <w:rPr>
          <w:rFonts w:ascii="Arial" w:hAnsi="Arial" w:cs="Arial"/>
          <w:sz w:val="24"/>
          <w:szCs w:val="24"/>
        </w:rPr>
        <w:t>Of course</w:t>
      </w:r>
      <w:r w:rsidR="00515705">
        <w:rPr>
          <w:rFonts w:ascii="Arial" w:hAnsi="Arial" w:cs="Arial"/>
          <w:sz w:val="24"/>
          <w:szCs w:val="24"/>
        </w:rPr>
        <w:t>,</w:t>
      </w:r>
      <w:r>
        <w:rPr>
          <w:rFonts w:ascii="Arial" w:hAnsi="Arial" w:cs="Arial"/>
          <w:sz w:val="24"/>
          <w:szCs w:val="24"/>
        </w:rPr>
        <w:t xml:space="preserve"> authorities will also be able to </w:t>
      </w:r>
      <w:r w:rsidR="009815B8">
        <w:rPr>
          <w:rFonts w:ascii="Arial" w:hAnsi="Arial" w:cs="Arial"/>
          <w:sz w:val="24"/>
          <w:szCs w:val="24"/>
        </w:rPr>
        <w:t>charge additional Council Tax via</w:t>
      </w:r>
      <w:r>
        <w:rPr>
          <w:rFonts w:ascii="Arial" w:hAnsi="Arial" w:cs="Arial"/>
          <w:sz w:val="24"/>
          <w:szCs w:val="24"/>
        </w:rPr>
        <w:t xml:space="preserve"> the Social Care precept but this will benefit some authorities more than others</w:t>
      </w:r>
      <w:r w:rsidR="006F70B8">
        <w:rPr>
          <w:rFonts w:ascii="Arial" w:hAnsi="Arial" w:cs="Arial"/>
          <w:sz w:val="24"/>
          <w:szCs w:val="24"/>
        </w:rPr>
        <w:t>,</w:t>
      </w:r>
      <w:r>
        <w:rPr>
          <w:rFonts w:ascii="Arial" w:hAnsi="Arial" w:cs="Arial"/>
          <w:sz w:val="24"/>
          <w:szCs w:val="24"/>
        </w:rPr>
        <w:t xml:space="preserve"> as not all</w:t>
      </w:r>
      <w:r w:rsidR="00816E39">
        <w:rPr>
          <w:rFonts w:ascii="Arial" w:hAnsi="Arial" w:cs="Arial"/>
          <w:sz w:val="24"/>
          <w:szCs w:val="24"/>
        </w:rPr>
        <w:t xml:space="preserve"> Council Tax bases are the same, as</w:t>
      </w:r>
      <w:r w:rsidR="00952718">
        <w:rPr>
          <w:rFonts w:ascii="Arial" w:hAnsi="Arial" w:cs="Arial"/>
          <w:sz w:val="24"/>
          <w:szCs w:val="24"/>
        </w:rPr>
        <w:t xml:space="preserve"> is illustrated in section 7.3</w:t>
      </w:r>
      <w:r w:rsidR="00816E39">
        <w:rPr>
          <w:rFonts w:ascii="Arial" w:hAnsi="Arial" w:cs="Arial"/>
          <w:sz w:val="24"/>
          <w:szCs w:val="24"/>
        </w:rPr>
        <w:t xml:space="preserve"> below</w:t>
      </w:r>
      <w:r w:rsidR="00515705">
        <w:rPr>
          <w:rFonts w:ascii="Arial" w:hAnsi="Arial" w:cs="Arial"/>
          <w:sz w:val="24"/>
          <w:szCs w:val="24"/>
        </w:rPr>
        <w:t>.</w:t>
      </w:r>
    </w:p>
    <w:p w:rsidR="0028053D" w:rsidRPr="0028053D" w:rsidRDefault="0028053D" w:rsidP="0028053D">
      <w:pPr>
        <w:pStyle w:val="ListParagraph"/>
        <w:rPr>
          <w:rFonts w:ascii="Arial" w:hAnsi="Arial" w:cs="Arial"/>
          <w:sz w:val="24"/>
          <w:szCs w:val="24"/>
        </w:rPr>
      </w:pPr>
    </w:p>
    <w:p w:rsidR="0028053D" w:rsidRDefault="009815B8" w:rsidP="0028053D">
      <w:pPr>
        <w:pStyle w:val="ListParagraph"/>
        <w:numPr>
          <w:ilvl w:val="1"/>
          <w:numId w:val="1"/>
        </w:numPr>
        <w:spacing w:after="0"/>
        <w:ind w:left="426"/>
        <w:rPr>
          <w:rFonts w:ascii="Arial" w:hAnsi="Arial" w:cs="Arial"/>
          <w:sz w:val="24"/>
          <w:szCs w:val="24"/>
        </w:rPr>
      </w:pPr>
      <w:r>
        <w:rPr>
          <w:rFonts w:ascii="Arial" w:hAnsi="Arial" w:cs="Arial"/>
          <w:sz w:val="24"/>
          <w:szCs w:val="24"/>
        </w:rPr>
        <w:t xml:space="preserve">We would recommend that the allocation should take into account the ability to </w:t>
      </w:r>
      <w:proofErr w:type="gramStart"/>
      <w:r>
        <w:rPr>
          <w:rFonts w:ascii="Arial" w:hAnsi="Arial" w:cs="Arial"/>
          <w:sz w:val="24"/>
          <w:szCs w:val="24"/>
        </w:rPr>
        <w:t>raise</w:t>
      </w:r>
      <w:proofErr w:type="gramEnd"/>
      <w:r>
        <w:rPr>
          <w:rFonts w:ascii="Arial" w:hAnsi="Arial" w:cs="Arial"/>
          <w:sz w:val="24"/>
          <w:szCs w:val="24"/>
        </w:rPr>
        <w:t xml:space="preserve"> local funding via the precept but otherwise accept it as a reasonable approximation given the relatively small amount of funds.</w:t>
      </w:r>
    </w:p>
    <w:p w:rsidR="009815B8" w:rsidRPr="009815B8" w:rsidRDefault="009815B8" w:rsidP="009815B8">
      <w:pPr>
        <w:pStyle w:val="ListParagraph"/>
        <w:rPr>
          <w:rFonts w:ascii="Arial" w:hAnsi="Arial" w:cs="Arial"/>
          <w:sz w:val="24"/>
          <w:szCs w:val="24"/>
        </w:rPr>
      </w:pPr>
    </w:p>
    <w:p w:rsidR="009815B8" w:rsidRPr="005765C5" w:rsidRDefault="005765C5" w:rsidP="009815B8">
      <w:pPr>
        <w:pStyle w:val="ListParagraph"/>
        <w:numPr>
          <w:ilvl w:val="0"/>
          <w:numId w:val="1"/>
        </w:numPr>
        <w:spacing w:after="0"/>
        <w:ind w:left="378"/>
        <w:rPr>
          <w:rFonts w:ascii="Arial" w:hAnsi="Arial" w:cs="Arial"/>
          <w:b/>
          <w:sz w:val="24"/>
          <w:szCs w:val="24"/>
        </w:rPr>
      </w:pPr>
      <w:r w:rsidRPr="005765C5">
        <w:rPr>
          <w:rFonts w:ascii="Arial" w:hAnsi="Arial" w:cs="Arial"/>
          <w:b/>
          <w:sz w:val="24"/>
          <w:szCs w:val="24"/>
        </w:rPr>
        <w:t>Question 3: Do you agree with the Governments Proposal to fund the new Homes Bonus in 19-20 with the planned £900 million from Revenue Support Grant?</w:t>
      </w:r>
    </w:p>
    <w:p w:rsidR="009815B8" w:rsidRPr="009815B8" w:rsidRDefault="009815B8" w:rsidP="009815B8">
      <w:pPr>
        <w:pStyle w:val="ListParagraph"/>
        <w:spacing w:after="0"/>
        <w:ind w:left="378"/>
        <w:rPr>
          <w:rFonts w:ascii="Arial" w:hAnsi="Arial" w:cs="Arial"/>
          <w:sz w:val="24"/>
          <w:szCs w:val="24"/>
        </w:rPr>
      </w:pPr>
    </w:p>
    <w:p w:rsidR="0028053D" w:rsidRDefault="005765C5" w:rsidP="005765C5">
      <w:pPr>
        <w:pStyle w:val="ListParagraph"/>
        <w:numPr>
          <w:ilvl w:val="1"/>
          <w:numId w:val="1"/>
        </w:numPr>
        <w:spacing w:after="0"/>
        <w:ind w:left="426"/>
        <w:rPr>
          <w:rFonts w:ascii="Arial" w:hAnsi="Arial" w:cs="Arial"/>
          <w:sz w:val="24"/>
          <w:szCs w:val="24"/>
        </w:rPr>
      </w:pPr>
      <w:r>
        <w:rPr>
          <w:rFonts w:ascii="Arial" w:hAnsi="Arial" w:cs="Arial"/>
          <w:sz w:val="24"/>
          <w:szCs w:val="24"/>
        </w:rPr>
        <w:t>Members do not agree that the NHB should be funded in this way as it removes much needed resource funding from the most deprived authorities to reward some of the most affluent.</w:t>
      </w:r>
    </w:p>
    <w:p w:rsidR="005765C5" w:rsidRPr="005765C5" w:rsidRDefault="005765C5" w:rsidP="005765C5">
      <w:pPr>
        <w:pStyle w:val="ListParagraph"/>
        <w:spacing w:after="0"/>
        <w:ind w:left="426"/>
        <w:rPr>
          <w:rFonts w:ascii="Arial" w:hAnsi="Arial" w:cs="Arial"/>
          <w:sz w:val="24"/>
          <w:szCs w:val="24"/>
        </w:rPr>
      </w:pPr>
    </w:p>
    <w:p w:rsidR="0028053D" w:rsidRPr="005765C5" w:rsidRDefault="005765C5" w:rsidP="005765C5">
      <w:pPr>
        <w:pStyle w:val="ListParagraph"/>
        <w:numPr>
          <w:ilvl w:val="0"/>
          <w:numId w:val="1"/>
        </w:numPr>
        <w:spacing w:after="0"/>
        <w:ind w:left="378"/>
        <w:rPr>
          <w:rFonts w:ascii="Arial" w:hAnsi="Arial" w:cs="Arial"/>
          <w:b/>
          <w:sz w:val="24"/>
          <w:szCs w:val="24"/>
        </w:rPr>
      </w:pPr>
      <w:r w:rsidRPr="005765C5">
        <w:rPr>
          <w:rFonts w:ascii="Arial" w:hAnsi="Arial" w:cs="Arial"/>
          <w:b/>
          <w:sz w:val="24"/>
          <w:szCs w:val="24"/>
        </w:rPr>
        <w:t>Question 4: Do you agree with the Government</w:t>
      </w:r>
      <w:r w:rsidR="00683748">
        <w:rPr>
          <w:rFonts w:ascii="Arial" w:hAnsi="Arial" w:cs="Arial"/>
          <w:b/>
          <w:sz w:val="24"/>
          <w:szCs w:val="24"/>
        </w:rPr>
        <w:t>’</w:t>
      </w:r>
      <w:r w:rsidRPr="005765C5">
        <w:rPr>
          <w:rFonts w:ascii="Arial" w:hAnsi="Arial" w:cs="Arial"/>
          <w:b/>
          <w:sz w:val="24"/>
          <w:szCs w:val="24"/>
        </w:rPr>
        <w:t>s proposed approach to paying £81 million Rural Services Delivery Grant in 2019-20 to the uppe</w:t>
      </w:r>
      <w:r>
        <w:rPr>
          <w:rFonts w:ascii="Arial" w:hAnsi="Arial" w:cs="Arial"/>
          <w:b/>
          <w:sz w:val="24"/>
          <w:szCs w:val="24"/>
        </w:rPr>
        <w:t>r qua</w:t>
      </w:r>
      <w:r w:rsidRPr="005765C5">
        <w:rPr>
          <w:rFonts w:ascii="Arial" w:hAnsi="Arial" w:cs="Arial"/>
          <w:b/>
          <w:sz w:val="24"/>
          <w:szCs w:val="24"/>
        </w:rPr>
        <w:t>rtile of local authorities based on the super sparsity indicator?</w:t>
      </w:r>
    </w:p>
    <w:p w:rsidR="0028053D" w:rsidRPr="0028053D" w:rsidRDefault="0028053D" w:rsidP="0028053D">
      <w:pPr>
        <w:pStyle w:val="ListParagraph"/>
        <w:rPr>
          <w:rFonts w:ascii="Arial" w:hAnsi="Arial" w:cs="Arial"/>
          <w:sz w:val="24"/>
          <w:szCs w:val="24"/>
        </w:rPr>
      </w:pPr>
    </w:p>
    <w:p w:rsidR="0028053D" w:rsidRPr="005765C5" w:rsidRDefault="005765C5" w:rsidP="00E37473">
      <w:pPr>
        <w:pStyle w:val="ListParagraph"/>
        <w:numPr>
          <w:ilvl w:val="1"/>
          <w:numId w:val="1"/>
        </w:numPr>
        <w:spacing w:after="0"/>
        <w:ind w:left="426"/>
        <w:rPr>
          <w:rFonts w:ascii="Arial" w:hAnsi="Arial" w:cs="Arial"/>
          <w:sz w:val="24"/>
          <w:szCs w:val="24"/>
        </w:rPr>
      </w:pPr>
      <w:r w:rsidRPr="005765C5">
        <w:rPr>
          <w:rFonts w:ascii="Arial" w:hAnsi="Arial" w:cs="Arial"/>
          <w:sz w:val="24"/>
          <w:szCs w:val="24"/>
        </w:rPr>
        <w:t xml:space="preserve">Our members have no </w:t>
      </w:r>
      <w:r w:rsidR="00816E39">
        <w:rPr>
          <w:rFonts w:ascii="Arial" w:hAnsi="Arial" w:cs="Arial"/>
          <w:sz w:val="24"/>
          <w:szCs w:val="24"/>
        </w:rPr>
        <w:t xml:space="preserve">objection to </w:t>
      </w:r>
      <w:r w:rsidR="00C5645F">
        <w:rPr>
          <w:rFonts w:ascii="Arial" w:hAnsi="Arial" w:cs="Arial"/>
          <w:sz w:val="24"/>
          <w:szCs w:val="24"/>
        </w:rPr>
        <w:t xml:space="preserve">distributions </w:t>
      </w:r>
      <w:r w:rsidRPr="005765C5">
        <w:rPr>
          <w:rFonts w:ascii="Arial" w:hAnsi="Arial" w:cs="Arial"/>
          <w:sz w:val="24"/>
          <w:szCs w:val="24"/>
        </w:rPr>
        <w:t>based</w:t>
      </w:r>
      <w:r w:rsidR="00C5645F">
        <w:rPr>
          <w:rFonts w:ascii="Arial" w:hAnsi="Arial" w:cs="Arial"/>
          <w:sz w:val="24"/>
          <w:szCs w:val="24"/>
        </w:rPr>
        <w:t xml:space="preserve"> on</w:t>
      </w:r>
      <w:r w:rsidR="00816E39">
        <w:rPr>
          <w:rFonts w:ascii="Arial" w:hAnsi="Arial" w:cs="Arial"/>
          <w:sz w:val="24"/>
          <w:szCs w:val="24"/>
        </w:rPr>
        <w:t xml:space="preserve"> objective </w:t>
      </w:r>
      <w:r w:rsidR="00C5645F">
        <w:rPr>
          <w:rFonts w:ascii="Arial" w:hAnsi="Arial" w:cs="Arial"/>
          <w:sz w:val="24"/>
          <w:szCs w:val="24"/>
        </w:rPr>
        <w:t xml:space="preserve">evidence based </w:t>
      </w:r>
      <w:r w:rsidRPr="005765C5">
        <w:rPr>
          <w:rFonts w:ascii="Arial" w:hAnsi="Arial" w:cs="Arial"/>
          <w:sz w:val="24"/>
          <w:szCs w:val="24"/>
        </w:rPr>
        <w:t>calcul</w:t>
      </w:r>
      <w:r w:rsidR="00215E17">
        <w:rPr>
          <w:rFonts w:ascii="Arial" w:hAnsi="Arial" w:cs="Arial"/>
          <w:sz w:val="24"/>
          <w:szCs w:val="24"/>
        </w:rPr>
        <w:t>ations of need, and therefore can</w:t>
      </w:r>
      <w:r w:rsidRPr="005765C5">
        <w:rPr>
          <w:rFonts w:ascii="Arial" w:hAnsi="Arial" w:cs="Arial"/>
          <w:sz w:val="24"/>
          <w:szCs w:val="24"/>
        </w:rPr>
        <w:t>not support the rural services grant.</w:t>
      </w:r>
    </w:p>
    <w:p w:rsidR="0028053D" w:rsidRPr="0028053D" w:rsidRDefault="0028053D" w:rsidP="0028053D">
      <w:pPr>
        <w:pStyle w:val="ListParagraph"/>
        <w:rPr>
          <w:rFonts w:ascii="Arial" w:hAnsi="Arial" w:cs="Arial"/>
          <w:sz w:val="24"/>
          <w:szCs w:val="24"/>
        </w:rPr>
      </w:pPr>
    </w:p>
    <w:p w:rsidR="0028053D" w:rsidRDefault="005765C5" w:rsidP="00E37473">
      <w:pPr>
        <w:pStyle w:val="ListParagraph"/>
        <w:numPr>
          <w:ilvl w:val="1"/>
          <w:numId w:val="1"/>
        </w:numPr>
        <w:spacing w:after="0"/>
        <w:ind w:left="426"/>
        <w:rPr>
          <w:rFonts w:ascii="Arial" w:hAnsi="Arial" w:cs="Arial"/>
          <w:sz w:val="24"/>
          <w:szCs w:val="24"/>
        </w:rPr>
      </w:pPr>
      <w:r>
        <w:rPr>
          <w:rFonts w:ascii="Arial" w:hAnsi="Arial" w:cs="Arial"/>
          <w:sz w:val="24"/>
          <w:szCs w:val="24"/>
        </w:rPr>
        <w:t>MHCLG</w:t>
      </w:r>
      <w:r w:rsidR="00683748">
        <w:rPr>
          <w:rFonts w:ascii="Arial" w:hAnsi="Arial" w:cs="Arial"/>
          <w:sz w:val="24"/>
          <w:szCs w:val="24"/>
        </w:rPr>
        <w:t>’</w:t>
      </w:r>
      <w:r>
        <w:rPr>
          <w:rFonts w:ascii="Arial" w:hAnsi="Arial" w:cs="Arial"/>
          <w:sz w:val="24"/>
          <w:szCs w:val="24"/>
        </w:rPr>
        <w:t>s own independently commissioned research showed that rurality was more</w:t>
      </w:r>
      <w:r w:rsidR="00215E17">
        <w:rPr>
          <w:rFonts w:ascii="Arial" w:hAnsi="Arial" w:cs="Arial"/>
          <w:sz w:val="24"/>
          <w:szCs w:val="24"/>
        </w:rPr>
        <w:t xml:space="preserve"> likely to lead to lower costs </w:t>
      </w:r>
      <w:r>
        <w:rPr>
          <w:rFonts w:ascii="Arial" w:hAnsi="Arial" w:cs="Arial"/>
          <w:sz w:val="24"/>
          <w:szCs w:val="24"/>
        </w:rPr>
        <w:t>than to higher ones in the majority of circumstances.</w:t>
      </w:r>
      <w:r w:rsidR="00683748">
        <w:rPr>
          <w:rStyle w:val="FootnoteReference"/>
          <w:rFonts w:ascii="Arial" w:hAnsi="Arial" w:cs="Arial"/>
          <w:sz w:val="24"/>
          <w:szCs w:val="24"/>
        </w:rPr>
        <w:footnoteReference w:id="2"/>
      </w:r>
    </w:p>
    <w:p w:rsidR="0028053D" w:rsidRPr="0028053D" w:rsidRDefault="0028053D" w:rsidP="0028053D">
      <w:pPr>
        <w:pStyle w:val="ListParagraph"/>
        <w:rPr>
          <w:rFonts w:ascii="Arial" w:hAnsi="Arial" w:cs="Arial"/>
          <w:sz w:val="24"/>
          <w:szCs w:val="24"/>
        </w:rPr>
      </w:pPr>
    </w:p>
    <w:p w:rsidR="0028053D" w:rsidRDefault="005765C5" w:rsidP="00E37473">
      <w:pPr>
        <w:pStyle w:val="ListParagraph"/>
        <w:numPr>
          <w:ilvl w:val="1"/>
          <w:numId w:val="1"/>
        </w:numPr>
        <w:spacing w:after="0"/>
        <w:ind w:left="426"/>
        <w:rPr>
          <w:rFonts w:ascii="Arial" w:hAnsi="Arial" w:cs="Arial"/>
          <w:sz w:val="24"/>
          <w:szCs w:val="24"/>
        </w:rPr>
      </w:pPr>
      <w:r>
        <w:rPr>
          <w:rFonts w:ascii="Arial" w:hAnsi="Arial" w:cs="Arial"/>
          <w:sz w:val="24"/>
          <w:szCs w:val="24"/>
        </w:rPr>
        <w:lastRenderedPageBreak/>
        <w:t xml:space="preserve">As with the removal of negative RSG and extended </w:t>
      </w:r>
      <w:r w:rsidR="003527C2">
        <w:rPr>
          <w:rFonts w:ascii="Arial" w:hAnsi="Arial" w:cs="Arial"/>
          <w:sz w:val="24"/>
          <w:szCs w:val="24"/>
        </w:rPr>
        <w:t>transition grant. The Government</w:t>
      </w:r>
      <w:r>
        <w:rPr>
          <w:rFonts w:ascii="Arial" w:hAnsi="Arial" w:cs="Arial"/>
          <w:sz w:val="24"/>
          <w:szCs w:val="24"/>
        </w:rPr>
        <w:t xml:space="preserve"> has acted against the </w:t>
      </w:r>
      <w:r w:rsidR="002A26AA">
        <w:rPr>
          <w:rFonts w:ascii="Arial" w:hAnsi="Arial" w:cs="Arial"/>
          <w:sz w:val="24"/>
          <w:szCs w:val="24"/>
        </w:rPr>
        <w:t>initial</w:t>
      </w:r>
      <w:r w:rsidR="003527C2">
        <w:rPr>
          <w:rFonts w:ascii="Arial" w:hAnsi="Arial" w:cs="Arial"/>
          <w:sz w:val="24"/>
          <w:szCs w:val="24"/>
        </w:rPr>
        <w:t xml:space="preserve"> recommendations of the</w:t>
      </w:r>
      <w:r>
        <w:rPr>
          <w:rFonts w:ascii="Arial" w:hAnsi="Arial" w:cs="Arial"/>
          <w:sz w:val="24"/>
          <w:szCs w:val="24"/>
        </w:rPr>
        <w:t xml:space="preserve"> Department </w:t>
      </w:r>
      <w:r w:rsidR="002A26AA">
        <w:rPr>
          <w:rFonts w:ascii="Arial" w:hAnsi="Arial" w:cs="Arial"/>
          <w:sz w:val="24"/>
          <w:szCs w:val="24"/>
        </w:rPr>
        <w:t>and the Government</w:t>
      </w:r>
      <w:r w:rsidR="00907B9C">
        <w:rPr>
          <w:rFonts w:ascii="Arial" w:hAnsi="Arial" w:cs="Arial"/>
          <w:sz w:val="24"/>
          <w:szCs w:val="24"/>
        </w:rPr>
        <w:t>’</w:t>
      </w:r>
      <w:r w:rsidR="002A26AA">
        <w:rPr>
          <w:rFonts w:ascii="Arial" w:hAnsi="Arial" w:cs="Arial"/>
          <w:sz w:val="24"/>
          <w:szCs w:val="24"/>
        </w:rPr>
        <w:t xml:space="preserve">s </w:t>
      </w:r>
      <w:r w:rsidR="00C5645F">
        <w:rPr>
          <w:rFonts w:ascii="Arial" w:hAnsi="Arial" w:cs="Arial"/>
          <w:sz w:val="24"/>
          <w:szCs w:val="24"/>
        </w:rPr>
        <w:t xml:space="preserve">own </w:t>
      </w:r>
      <w:r w:rsidR="002A26AA">
        <w:rPr>
          <w:rFonts w:ascii="Arial" w:hAnsi="Arial" w:cs="Arial"/>
          <w:sz w:val="24"/>
          <w:szCs w:val="24"/>
        </w:rPr>
        <w:t>four year offer</w:t>
      </w:r>
      <w:r w:rsidR="00215E17">
        <w:rPr>
          <w:rFonts w:ascii="Arial" w:hAnsi="Arial" w:cs="Arial"/>
          <w:sz w:val="24"/>
          <w:szCs w:val="24"/>
        </w:rPr>
        <w:t>,</w:t>
      </w:r>
      <w:r w:rsidR="002A26AA">
        <w:rPr>
          <w:rFonts w:ascii="Arial" w:hAnsi="Arial" w:cs="Arial"/>
          <w:sz w:val="24"/>
          <w:szCs w:val="24"/>
        </w:rPr>
        <w:t xml:space="preserve"> to contribute to a settl</w:t>
      </w:r>
      <w:r w:rsidR="003527C2">
        <w:rPr>
          <w:rFonts w:ascii="Arial" w:hAnsi="Arial" w:cs="Arial"/>
          <w:sz w:val="24"/>
          <w:szCs w:val="24"/>
        </w:rPr>
        <w:t>ement and fair funding proposal</w:t>
      </w:r>
      <w:r w:rsidR="002A26AA">
        <w:rPr>
          <w:rFonts w:ascii="Arial" w:hAnsi="Arial" w:cs="Arial"/>
          <w:sz w:val="24"/>
          <w:szCs w:val="24"/>
        </w:rPr>
        <w:t xml:space="preserve"> that has lost credibility with many of our members.</w:t>
      </w:r>
    </w:p>
    <w:p w:rsidR="0028053D" w:rsidRPr="0028053D" w:rsidRDefault="0028053D" w:rsidP="0028053D">
      <w:pPr>
        <w:pStyle w:val="ListParagraph"/>
        <w:rPr>
          <w:rFonts w:ascii="Arial" w:hAnsi="Arial" w:cs="Arial"/>
          <w:sz w:val="24"/>
          <w:szCs w:val="24"/>
        </w:rPr>
      </w:pPr>
    </w:p>
    <w:p w:rsidR="0028053D" w:rsidRPr="00E31AB1" w:rsidRDefault="00CA0047" w:rsidP="002A26AA">
      <w:pPr>
        <w:pStyle w:val="ListParagraph"/>
        <w:numPr>
          <w:ilvl w:val="0"/>
          <w:numId w:val="1"/>
        </w:numPr>
        <w:spacing w:after="0"/>
        <w:ind w:left="392"/>
        <w:rPr>
          <w:rFonts w:ascii="Arial" w:hAnsi="Arial" w:cs="Arial"/>
          <w:b/>
          <w:sz w:val="24"/>
          <w:szCs w:val="24"/>
        </w:rPr>
      </w:pPr>
      <w:r>
        <w:rPr>
          <w:rFonts w:ascii="Arial" w:hAnsi="Arial" w:cs="Arial"/>
          <w:b/>
          <w:sz w:val="24"/>
          <w:szCs w:val="24"/>
        </w:rPr>
        <w:t xml:space="preserve">Question 5: </w:t>
      </w:r>
      <w:r w:rsidR="002A26AA" w:rsidRPr="00E31AB1">
        <w:rPr>
          <w:rFonts w:ascii="Arial" w:hAnsi="Arial" w:cs="Arial"/>
          <w:b/>
          <w:sz w:val="24"/>
          <w:szCs w:val="24"/>
        </w:rPr>
        <w:t xml:space="preserve">The Government intends to </w:t>
      </w:r>
      <w:r w:rsidR="00907B9C" w:rsidRPr="00E31AB1">
        <w:rPr>
          <w:rFonts w:ascii="Arial" w:hAnsi="Arial" w:cs="Arial"/>
          <w:b/>
          <w:sz w:val="24"/>
          <w:szCs w:val="24"/>
        </w:rPr>
        <w:t>distribute</w:t>
      </w:r>
      <w:r w:rsidR="00907B9C">
        <w:rPr>
          <w:rFonts w:ascii="Arial" w:hAnsi="Arial" w:cs="Arial"/>
          <w:b/>
          <w:sz w:val="24"/>
          <w:szCs w:val="24"/>
        </w:rPr>
        <w:t xml:space="preserve"> </w:t>
      </w:r>
      <w:r w:rsidR="006F70B8" w:rsidRPr="00E31AB1">
        <w:rPr>
          <w:rFonts w:ascii="Arial" w:hAnsi="Arial" w:cs="Arial"/>
          <w:b/>
          <w:sz w:val="24"/>
          <w:szCs w:val="24"/>
        </w:rPr>
        <w:t>£180 million of levy</w:t>
      </w:r>
      <w:r w:rsidR="00E31AB1" w:rsidRPr="00E31AB1">
        <w:rPr>
          <w:rFonts w:ascii="Arial" w:hAnsi="Arial" w:cs="Arial"/>
          <w:b/>
          <w:sz w:val="24"/>
          <w:szCs w:val="24"/>
        </w:rPr>
        <w:t xml:space="preserve"> account surplus. Do you agree with the proposal to make this distribution </w:t>
      </w:r>
      <w:r w:rsidR="00D957BA">
        <w:rPr>
          <w:rFonts w:ascii="Arial" w:hAnsi="Arial" w:cs="Arial"/>
          <w:b/>
          <w:sz w:val="24"/>
          <w:szCs w:val="24"/>
        </w:rPr>
        <w:t>o</w:t>
      </w:r>
      <w:r w:rsidR="00E31AB1" w:rsidRPr="00E31AB1">
        <w:rPr>
          <w:rFonts w:ascii="Arial" w:hAnsi="Arial" w:cs="Arial"/>
          <w:b/>
          <w:sz w:val="24"/>
          <w:szCs w:val="24"/>
        </w:rPr>
        <w:t>n the basis of each authority’s 2013-1</w:t>
      </w:r>
      <w:r w:rsidR="00E31AB1">
        <w:rPr>
          <w:rFonts w:ascii="Arial" w:hAnsi="Arial" w:cs="Arial"/>
          <w:b/>
          <w:sz w:val="24"/>
          <w:szCs w:val="24"/>
        </w:rPr>
        <w:t>4 settlement funding assessment?</w:t>
      </w:r>
    </w:p>
    <w:p w:rsidR="0028053D" w:rsidRPr="0028053D" w:rsidRDefault="0028053D" w:rsidP="0028053D">
      <w:pPr>
        <w:pStyle w:val="ListParagraph"/>
        <w:rPr>
          <w:rFonts w:ascii="Arial" w:hAnsi="Arial" w:cs="Arial"/>
          <w:sz w:val="24"/>
          <w:szCs w:val="24"/>
        </w:rPr>
      </w:pPr>
    </w:p>
    <w:p w:rsidR="0028053D" w:rsidRDefault="00C5645F" w:rsidP="00E37473">
      <w:pPr>
        <w:pStyle w:val="ListParagraph"/>
        <w:numPr>
          <w:ilvl w:val="1"/>
          <w:numId w:val="1"/>
        </w:numPr>
        <w:spacing w:after="0"/>
        <w:ind w:left="426"/>
        <w:rPr>
          <w:rFonts w:ascii="Arial" w:hAnsi="Arial" w:cs="Arial"/>
          <w:sz w:val="24"/>
          <w:szCs w:val="24"/>
        </w:rPr>
      </w:pPr>
      <w:r>
        <w:rPr>
          <w:rFonts w:ascii="Arial" w:hAnsi="Arial" w:cs="Arial"/>
          <w:sz w:val="24"/>
          <w:szCs w:val="24"/>
        </w:rPr>
        <w:t>We agree with the</w:t>
      </w:r>
      <w:r w:rsidR="00CA0047">
        <w:rPr>
          <w:rFonts w:ascii="Arial" w:hAnsi="Arial" w:cs="Arial"/>
          <w:sz w:val="24"/>
          <w:szCs w:val="24"/>
        </w:rPr>
        <w:t xml:space="preserve"> proposal.</w:t>
      </w:r>
    </w:p>
    <w:p w:rsidR="00952718" w:rsidRDefault="00952718" w:rsidP="00952718">
      <w:pPr>
        <w:pStyle w:val="ListParagraph"/>
        <w:spacing w:after="0"/>
        <w:ind w:left="426"/>
        <w:rPr>
          <w:rFonts w:ascii="Arial" w:hAnsi="Arial" w:cs="Arial"/>
          <w:sz w:val="24"/>
          <w:szCs w:val="24"/>
        </w:rPr>
      </w:pPr>
    </w:p>
    <w:p w:rsidR="00952718" w:rsidRDefault="00952718" w:rsidP="00E37473">
      <w:pPr>
        <w:pStyle w:val="ListParagraph"/>
        <w:numPr>
          <w:ilvl w:val="1"/>
          <w:numId w:val="1"/>
        </w:numPr>
        <w:spacing w:after="0"/>
        <w:ind w:left="426"/>
        <w:rPr>
          <w:rFonts w:ascii="Arial" w:hAnsi="Arial" w:cs="Arial"/>
          <w:sz w:val="24"/>
          <w:szCs w:val="24"/>
        </w:rPr>
      </w:pPr>
      <w:r>
        <w:rPr>
          <w:rFonts w:ascii="Arial" w:hAnsi="Arial" w:cs="Arial"/>
          <w:sz w:val="24"/>
          <w:szCs w:val="24"/>
        </w:rPr>
        <w:t>There has been comment from members that the practice of over top-slicing and then returning funds at short notice is not conducive to effective budgeting and planning and can lead to authorities cutting services which would otherwise have been sustained.</w:t>
      </w:r>
    </w:p>
    <w:p w:rsidR="00952718" w:rsidRPr="00952718" w:rsidRDefault="00952718" w:rsidP="00952718">
      <w:pPr>
        <w:pStyle w:val="ListParagraph"/>
        <w:rPr>
          <w:rFonts w:ascii="Arial" w:hAnsi="Arial" w:cs="Arial"/>
          <w:sz w:val="24"/>
          <w:szCs w:val="24"/>
        </w:rPr>
      </w:pPr>
    </w:p>
    <w:p w:rsidR="00952718" w:rsidRDefault="00952718" w:rsidP="00E37473">
      <w:pPr>
        <w:pStyle w:val="ListParagraph"/>
        <w:numPr>
          <w:ilvl w:val="1"/>
          <w:numId w:val="1"/>
        </w:numPr>
        <w:spacing w:after="0"/>
        <w:ind w:left="426"/>
        <w:rPr>
          <w:rFonts w:ascii="Arial" w:hAnsi="Arial" w:cs="Arial"/>
          <w:sz w:val="24"/>
          <w:szCs w:val="24"/>
        </w:rPr>
      </w:pPr>
      <w:r>
        <w:rPr>
          <w:rFonts w:ascii="Arial" w:hAnsi="Arial" w:cs="Arial"/>
          <w:sz w:val="24"/>
          <w:szCs w:val="24"/>
        </w:rPr>
        <w:t>The issue has raised concerns amongst members regarding the business rates consultation.</w:t>
      </w:r>
      <w:r w:rsidR="002E3673">
        <w:rPr>
          <w:rFonts w:ascii="Arial" w:hAnsi="Arial" w:cs="Arial"/>
          <w:sz w:val="24"/>
          <w:szCs w:val="24"/>
        </w:rPr>
        <w:t xml:space="preserve"> The full cost of safety net should be financed from levy on excessive growth, not top-sliced from settlement funding allocations.</w:t>
      </w:r>
    </w:p>
    <w:p w:rsidR="00CA0047" w:rsidRDefault="00CA0047" w:rsidP="00CA0047">
      <w:pPr>
        <w:pStyle w:val="ListParagraph"/>
        <w:spacing w:after="0"/>
        <w:ind w:left="426"/>
        <w:rPr>
          <w:rFonts w:ascii="Arial" w:hAnsi="Arial" w:cs="Arial"/>
          <w:sz w:val="24"/>
          <w:szCs w:val="24"/>
        </w:rPr>
      </w:pPr>
    </w:p>
    <w:p w:rsidR="00CA0047" w:rsidRPr="00CA0047" w:rsidRDefault="00215E17" w:rsidP="00CA0047">
      <w:pPr>
        <w:pStyle w:val="ListParagraph"/>
        <w:numPr>
          <w:ilvl w:val="0"/>
          <w:numId w:val="1"/>
        </w:numPr>
        <w:spacing w:after="0"/>
        <w:ind w:left="392"/>
        <w:rPr>
          <w:rFonts w:ascii="Arial" w:hAnsi="Arial" w:cs="Arial"/>
          <w:b/>
          <w:sz w:val="24"/>
          <w:szCs w:val="24"/>
        </w:rPr>
      </w:pPr>
      <w:r>
        <w:rPr>
          <w:rFonts w:ascii="Arial" w:hAnsi="Arial" w:cs="Arial"/>
          <w:b/>
          <w:sz w:val="24"/>
          <w:szCs w:val="24"/>
        </w:rPr>
        <w:t xml:space="preserve">Question 6:  </w:t>
      </w:r>
      <w:r w:rsidR="00CA0047" w:rsidRPr="00CA0047">
        <w:rPr>
          <w:rFonts w:ascii="Arial" w:hAnsi="Arial" w:cs="Arial"/>
          <w:b/>
          <w:sz w:val="24"/>
          <w:szCs w:val="24"/>
        </w:rPr>
        <w:t>What are your views on the Council Tax referendum principles proposed by the Government for 2019-20?</w:t>
      </w:r>
    </w:p>
    <w:p w:rsidR="00CA0047" w:rsidRPr="00CA0047" w:rsidRDefault="00CA0047" w:rsidP="00CA0047">
      <w:pPr>
        <w:pStyle w:val="ListParagraph"/>
        <w:rPr>
          <w:rFonts w:ascii="Arial" w:hAnsi="Arial" w:cs="Arial"/>
          <w:sz w:val="24"/>
          <w:szCs w:val="24"/>
        </w:rPr>
      </w:pPr>
    </w:p>
    <w:p w:rsidR="00CA0047" w:rsidRDefault="007B48A5" w:rsidP="00E37473">
      <w:pPr>
        <w:pStyle w:val="ListParagraph"/>
        <w:numPr>
          <w:ilvl w:val="1"/>
          <w:numId w:val="1"/>
        </w:numPr>
        <w:spacing w:after="0"/>
        <w:ind w:left="426"/>
        <w:rPr>
          <w:rFonts w:ascii="Arial" w:hAnsi="Arial" w:cs="Arial"/>
          <w:sz w:val="24"/>
          <w:szCs w:val="24"/>
        </w:rPr>
      </w:pPr>
      <w:r>
        <w:rPr>
          <w:rFonts w:ascii="Arial" w:hAnsi="Arial" w:cs="Arial"/>
          <w:sz w:val="24"/>
          <w:szCs w:val="24"/>
        </w:rPr>
        <w:t>We support the LGA in their submission that authorities should not be subject to referenda on Council Tax.</w:t>
      </w:r>
    </w:p>
    <w:p w:rsidR="00CA0047" w:rsidRPr="00CA0047" w:rsidRDefault="00CA0047" w:rsidP="00CA0047">
      <w:pPr>
        <w:pStyle w:val="ListParagraph"/>
        <w:rPr>
          <w:rFonts w:ascii="Arial" w:hAnsi="Arial" w:cs="Arial"/>
          <w:sz w:val="24"/>
          <w:szCs w:val="24"/>
        </w:rPr>
      </w:pPr>
    </w:p>
    <w:p w:rsidR="00215E17" w:rsidRDefault="007B48A5" w:rsidP="00EF16C1">
      <w:pPr>
        <w:pStyle w:val="ListParagraph"/>
        <w:numPr>
          <w:ilvl w:val="1"/>
          <w:numId w:val="1"/>
        </w:numPr>
        <w:spacing w:after="0"/>
        <w:ind w:left="426"/>
        <w:rPr>
          <w:rFonts w:ascii="Arial" w:hAnsi="Arial" w:cs="Arial"/>
          <w:sz w:val="24"/>
          <w:szCs w:val="24"/>
        </w:rPr>
      </w:pPr>
      <w:r>
        <w:rPr>
          <w:rFonts w:ascii="Arial" w:hAnsi="Arial" w:cs="Arial"/>
          <w:sz w:val="24"/>
          <w:szCs w:val="24"/>
        </w:rPr>
        <w:t xml:space="preserve">We </w:t>
      </w:r>
      <w:r w:rsidR="00EF16C1">
        <w:rPr>
          <w:rFonts w:ascii="Arial" w:hAnsi="Arial" w:cs="Arial"/>
          <w:sz w:val="24"/>
          <w:szCs w:val="24"/>
        </w:rPr>
        <w:t xml:space="preserve">would </w:t>
      </w:r>
      <w:r>
        <w:rPr>
          <w:rFonts w:ascii="Arial" w:hAnsi="Arial" w:cs="Arial"/>
          <w:sz w:val="24"/>
          <w:szCs w:val="24"/>
        </w:rPr>
        <w:t>also comment that using Council Tax increases to resolve specific fundin</w:t>
      </w:r>
      <w:r w:rsidR="00215E17">
        <w:rPr>
          <w:rFonts w:ascii="Arial" w:hAnsi="Arial" w:cs="Arial"/>
          <w:sz w:val="24"/>
          <w:szCs w:val="24"/>
        </w:rPr>
        <w:t xml:space="preserve">g issues will, if not matched by </w:t>
      </w:r>
      <w:r>
        <w:rPr>
          <w:rFonts w:ascii="Arial" w:hAnsi="Arial" w:cs="Arial"/>
          <w:sz w:val="24"/>
          <w:szCs w:val="24"/>
        </w:rPr>
        <w:t>equalisation</w:t>
      </w:r>
      <w:r w:rsidR="00215E17">
        <w:rPr>
          <w:rFonts w:ascii="Arial" w:hAnsi="Arial" w:cs="Arial"/>
          <w:sz w:val="24"/>
          <w:szCs w:val="24"/>
        </w:rPr>
        <w:t xml:space="preserve"> measures, widen</w:t>
      </w:r>
      <w:r>
        <w:rPr>
          <w:rFonts w:ascii="Arial" w:hAnsi="Arial" w:cs="Arial"/>
          <w:sz w:val="24"/>
          <w:szCs w:val="24"/>
        </w:rPr>
        <w:t xml:space="preserve"> imbalances between need</w:t>
      </w:r>
      <w:r w:rsidR="00215E17">
        <w:rPr>
          <w:rFonts w:ascii="Arial" w:hAnsi="Arial" w:cs="Arial"/>
          <w:sz w:val="24"/>
          <w:szCs w:val="24"/>
        </w:rPr>
        <w:t>s</w:t>
      </w:r>
      <w:r>
        <w:rPr>
          <w:rFonts w:ascii="Arial" w:hAnsi="Arial" w:cs="Arial"/>
          <w:sz w:val="24"/>
          <w:szCs w:val="24"/>
        </w:rPr>
        <w:t xml:space="preserve"> and funding</w:t>
      </w:r>
      <w:r w:rsidR="00EF16C1">
        <w:rPr>
          <w:rFonts w:ascii="Arial" w:hAnsi="Arial" w:cs="Arial"/>
          <w:sz w:val="24"/>
          <w:szCs w:val="24"/>
        </w:rPr>
        <w:t xml:space="preserve">. </w:t>
      </w:r>
    </w:p>
    <w:p w:rsidR="00215E17" w:rsidRPr="00215E17" w:rsidRDefault="00215E17" w:rsidP="00215E17">
      <w:pPr>
        <w:pStyle w:val="ListParagraph"/>
        <w:rPr>
          <w:rFonts w:ascii="Arial" w:hAnsi="Arial" w:cs="Arial"/>
          <w:sz w:val="24"/>
          <w:szCs w:val="24"/>
        </w:rPr>
      </w:pPr>
    </w:p>
    <w:p w:rsidR="00EF16C1" w:rsidRDefault="00EF16C1" w:rsidP="00EF16C1">
      <w:pPr>
        <w:pStyle w:val="ListParagraph"/>
        <w:numPr>
          <w:ilvl w:val="1"/>
          <w:numId w:val="1"/>
        </w:numPr>
        <w:spacing w:after="0"/>
        <w:ind w:left="426"/>
        <w:rPr>
          <w:rFonts w:ascii="Arial" w:hAnsi="Arial" w:cs="Arial"/>
          <w:sz w:val="24"/>
          <w:szCs w:val="24"/>
        </w:rPr>
      </w:pPr>
      <w:r>
        <w:rPr>
          <w:rFonts w:ascii="Arial" w:hAnsi="Arial" w:cs="Arial"/>
          <w:sz w:val="24"/>
          <w:szCs w:val="24"/>
        </w:rPr>
        <w:t>The follow</w:t>
      </w:r>
      <w:r w:rsidR="00215E17">
        <w:rPr>
          <w:rFonts w:ascii="Arial" w:hAnsi="Arial" w:cs="Arial"/>
          <w:sz w:val="24"/>
          <w:szCs w:val="24"/>
        </w:rPr>
        <w:t>ing table shows</w:t>
      </w:r>
      <w:r w:rsidR="006F29CD">
        <w:rPr>
          <w:rFonts w:ascii="Arial" w:hAnsi="Arial" w:cs="Arial"/>
          <w:sz w:val="24"/>
          <w:szCs w:val="24"/>
        </w:rPr>
        <w:t xml:space="preserve">, for example, </w:t>
      </w:r>
      <w:r w:rsidR="00215E17">
        <w:rPr>
          <w:rFonts w:ascii="Arial" w:hAnsi="Arial" w:cs="Arial"/>
          <w:sz w:val="24"/>
          <w:szCs w:val="24"/>
        </w:rPr>
        <w:t>the variation in</w:t>
      </w:r>
      <w:r>
        <w:rPr>
          <w:rFonts w:ascii="Arial" w:hAnsi="Arial" w:cs="Arial"/>
          <w:sz w:val="24"/>
          <w:szCs w:val="24"/>
        </w:rPr>
        <w:t xml:space="preserve"> the impact of a 3% Council Tax increase as a percentage of each authority Core Spending Power.</w:t>
      </w:r>
    </w:p>
    <w:p w:rsidR="00CA0047" w:rsidRPr="00215E17" w:rsidRDefault="006F29CD" w:rsidP="00215E17">
      <w:pPr>
        <w:pStyle w:val="ListParagraph"/>
        <w:spacing w:after="0"/>
        <w:ind w:left="502"/>
        <w:rPr>
          <w:rFonts w:ascii="Arial" w:hAnsi="Arial" w:cs="Arial"/>
          <w:sz w:val="24"/>
          <w:szCs w:val="24"/>
        </w:rPr>
      </w:pPr>
      <w:r>
        <w:rPr>
          <w:noProof/>
          <w:lang w:eastAsia="en-GB"/>
        </w:rPr>
        <mc:AlternateContent>
          <mc:Choice Requires="wps">
            <w:drawing>
              <wp:anchor distT="0" distB="0" distL="114300" distR="114300" simplePos="0" relativeHeight="251662336" behindDoc="0" locked="0" layoutInCell="1" allowOverlap="1" wp14:anchorId="0B094DBD" wp14:editId="7EF7F431">
                <wp:simplePos x="0" y="0"/>
                <wp:positionH relativeFrom="column">
                  <wp:posOffset>2187575</wp:posOffset>
                </wp:positionH>
                <wp:positionV relativeFrom="paragraph">
                  <wp:posOffset>753110</wp:posOffset>
                </wp:positionV>
                <wp:extent cx="0" cy="400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2.25pt,59.3pt" to="172.25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" strokecolor="#4579b8 [3044]"/>
            </w:pict>
          </mc:Fallback>
        </mc:AlternateContent>
      </w:r>
      <w:r>
        <w:rPr>
          <w:noProof/>
          <w:lang w:eastAsia="en-GB"/>
        </w:rPr>
        <mc:AlternateContent>
          <mc:Choice Requires="wps">
            <w:drawing>
              <wp:anchor distT="0" distB="0" distL="114300" distR="114300" simplePos="0" relativeHeight="251663360" behindDoc="0" locked="0" layoutInCell="1" allowOverlap="1" wp14:anchorId="09600646" wp14:editId="43DD5251">
                <wp:simplePos x="0" y="0"/>
                <wp:positionH relativeFrom="column">
                  <wp:posOffset>1800225</wp:posOffset>
                </wp:positionH>
                <wp:positionV relativeFrom="paragraph">
                  <wp:posOffset>457835</wp:posOffset>
                </wp:positionV>
                <wp:extent cx="1009650" cy="2952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009650" cy="295275"/>
                        </a:xfrm>
                        <a:prstGeom prst="rect">
                          <a:avLst/>
                        </a:prstGeom>
                      </wps:spPr>
                      <wps:style>
                        <a:lnRef idx="2">
                          <a:schemeClr val="dk1"/>
                        </a:lnRef>
                        <a:fillRef idx="1">
                          <a:schemeClr val="lt1"/>
                        </a:fillRef>
                        <a:effectRef idx="0">
                          <a:schemeClr val="dk1"/>
                        </a:effectRef>
                        <a:fontRef idx="minor">
                          <a:schemeClr val="dk1"/>
                        </a:fontRef>
                      </wps:style>
                      <wps:txbx>
                        <w:txbxContent>
                          <w:p w:rsidR="00EF16C1" w:rsidRPr="00EF16C1" w:rsidRDefault="00EF16C1" w:rsidP="00EF16C1">
                            <w:pPr>
                              <w:jc w:val="center"/>
                              <w:rPr>
                                <w:sz w:val="16"/>
                                <w:szCs w:val="16"/>
                              </w:rPr>
                            </w:pPr>
                            <w:r w:rsidRPr="00EF16C1">
                              <w:rPr>
                                <w:sz w:val="16"/>
                                <w:szCs w:val="16"/>
                              </w:rPr>
                              <w:t>A</w:t>
                            </w:r>
                            <w:r>
                              <w:rPr>
                                <w:sz w:val="16"/>
                                <w:szCs w:val="16"/>
                              </w:rPr>
                              <w:t>verag</w:t>
                            </w:r>
                            <w:r w:rsidR="006F29CD">
                              <w:rPr>
                                <w:sz w:val="16"/>
                                <w:szCs w:val="16"/>
                              </w:rPr>
                              <w:t>e 1.75</w:t>
                            </w:r>
                            <w:r w:rsidRPr="00EF16C1">
                              <w:rPr>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left:0;text-align:left;margin-left:141.75pt;margin-top:36.05pt;width:79.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" fillcolor="white [3201]" strokecolor="black [3200]" strokeweight="2pt">
                <v:textbox>
                  <w:txbxContent>
                    <w:p w14:paraId="4FE1D17C" w14:textId="77777777" w:rsidR="00EF16C1" w:rsidRPr="00EF16C1" w:rsidRDefault="00EF16C1" w:rsidP="00EF16C1">
                      <w:pPr>
                        <w:jc w:val="center"/>
                        <w:rPr>
                          <w:sz w:val="16"/>
                          <w:szCs w:val="16"/>
                        </w:rPr>
                      </w:pPr>
                      <w:r w:rsidRPr="00EF16C1">
                        <w:rPr>
                          <w:sz w:val="16"/>
                          <w:szCs w:val="16"/>
                        </w:rPr>
                        <w:t>A</w:t>
                      </w:r>
                      <w:r>
                        <w:rPr>
                          <w:sz w:val="16"/>
                          <w:szCs w:val="16"/>
                        </w:rPr>
                        <w:t>verag</w:t>
                      </w:r>
                      <w:r w:rsidR="006F29CD">
                        <w:rPr>
                          <w:sz w:val="16"/>
                          <w:szCs w:val="16"/>
                        </w:rPr>
                        <w:t>e 1.75</w:t>
                      </w:r>
                      <w:r w:rsidRPr="00EF16C1">
                        <w:rPr>
                          <w:sz w:val="16"/>
                          <w:szCs w:val="16"/>
                        </w:rPr>
                        <w:t>%</w:t>
                      </w:r>
                    </w:p>
                  </w:txbxContent>
                </v:textbox>
              </v:rect>
            </w:pict>
          </mc:Fallback>
        </mc:AlternateContent>
      </w:r>
      <w:r>
        <w:rPr>
          <w:noProof/>
          <w:lang w:eastAsia="en-GB"/>
        </w:rPr>
        <w:drawing>
          <wp:inline distT="0" distB="0" distL="0" distR="0" wp14:anchorId="1CABD1AF" wp14:editId="0697DB67">
            <wp:extent cx="4273550" cy="2355850"/>
            <wp:effectExtent l="0" t="0" r="0" b="6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0047" w:rsidRPr="00215E17" w:rsidRDefault="00CA0047" w:rsidP="00215E17">
      <w:pPr>
        <w:pStyle w:val="ListParagraph"/>
        <w:spacing w:after="0"/>
        <w:ind w:left="502"/>
        <w:rPr>
          <w:rFonts w:ascii="Arial" w:hAnsi="Arial" w:cs="Arial"/>
          <w:sz w:val="24"/>
          <w:szCs w:val="24"/>
        </w:rPr>
      </w:pPr>
    </w:p>
    <w:p w:rsidR="00CA0047" w:rsidRDefault="00215E17" w:rsidP="00E37473">
      <w:pPr>
        <w:pStyle w:val="ListParagraph"/>
        <w:numPr>
          <w:ilvl w:val="1"/>
          <w:numId w:val="1"/>
        </w:numPr>
        <w:spacing w:after="0"/>
        <w:ind w:left="426"/>
        <w:rPr>
          <w:rFonts w:ascii="Arial" w:hAnsi="Arial" w:cs="Arial"/>
          <w:sz w:val="24"/>
          <w:szCs w:val="24"/>
        </w:rPr>
      </w:pPr>
      <w:r>
        <w:rPr>
          <w:rFonts w:ascii="Arial" w:hAnsi="Arial" w:cs="Arial"/>
          <w:sz w:val="24"/>
          <w:szCs w:val="24"/>
        </w:rPr>
        <w:t>Councils would also benefit from an understanding of what is planned for Council Tax beyond 2020.</w:t>
      </w:r>
    </w:p>
    <w:p w:rsidR="00CA0047" w:rsidRPr="00CA0047" w:rsidRDefault="00CA0047" w:rsidP="00CA0047">
      <w:pPr>
        <w:pStyle w:val="ListParagraph"/>
        <w:rPr>
          <w:rFonts w:ascii="Arial" w:hAnsi="Arial" w:cs="Arial"/>
          <w:sz w:val="24"/>
          <w:szCs w:val="24"/>
        </w:rPr>
      </w:pPr>
    </w:p>
    <w:p w:rsidR="00CA0047" w:rsidRPr="00A05E5C" w:rsidRDefault="00215E17" w:rsidP="00A05E5C">
      <w:pPr>
        <w:pStyle w:val="ListParagraph"/>
        <w:numPr>
          <w:ilvl w:val="0"/>
          <w:numId w:val="1"/>
        </w:numPr>
        <w:spacing w:after="0"/>
        <w:ind w:left="378"/>
        <w:rPr>
          <w:rFonts w:ascii="Arial" w:hAnsi="Arial" w:cs="Arial"/>
          <w:b/>
          <w:sz w:val="24"/>
          <w:szCs w:val="24"/>
        </w:rPr>
      </w:pPr>
      <w:r w:rsidRPr="00A05E5C">
        <w:rPr>
          <w:rFonts w:ascii="Arial" w:hAnsi="Arial" w:cs="Arial"/>
          <w:b/>
          <w:sz w:val="24"/>
          <w:szCs w:val="24"/>
        </w:rPr>
        <w:t>Question 7: What are your views on the Government’s approach to tariffs and top-ups in 2019-20?</w:t>
      </w:r>
    </w:p>
    <w:p w:rsidR="00CA0047" w:rsidRPr="00CA0047" w:rsidRDefault="00CA0047" w:rsidP="00CA0047">
      <w:pPr>
        <w:pStyle w:val="ListParagraph"/>
        <w:rPr>
          <w:rFonts w:ascii="Arial" w:hAnsi="Arial" w:cs="Arial"/>
          <w:sz w:val="24"/>
          <w:szCs w:val="24"/>
        </w:rPr>
      </w:pPr>
    </w:p>
    <w:p w:rsidR="002E3673" w:rsidRDefault="002E3673" w:rsidP="00E37473">
      <w:pPr>
        <w:pStyle w:val="ListParagraph"/>
        <w:numPr>
          <w:ilvl w:val="1"/>
          <w:numId w:val="1"/>
        </w:numPr>
        <w:spacing w:after="0"/>
        <w:ind w:left="426"/>
        <w:rPr>
          <w:rFonts w:ascii="Arial" w:hAnsi="Arial" w:cs="Arial"/>
          <w:sz w:val="24"/>
          <w:szCs w:val="24"/>
        </w:rPr>
      </w:pPr>
      <w:r>
        <w:rPr>
          <w:rFonts w:ascii="Arial" w:hAnsi="Arial" w:cs="Arial"/>
          <w:sz w:val="24"/>
          <w:szCs w:val="24"/>
        </w:rPr>
        <w:t>We have already made the position of our members regarding the adjustment of “negative RSG” clear in the answer to question1, whether this is taken to be part of RSG adjustment or the top-up and tariff adjustment our points on negative RSG apply to both these questions. See sections 2.2 to 2.7 above.</w:t>
      </w:r>
    </w:p>
    <w:p w:rsidR="002E3673" w:rsidRDefault="002E3673" w:rsidP="002E3673">
      <w:pPr>
        <w:pStyle w:val="ListParagraph"/>
        <w:spacing w:after="0"/>
        <w:ind w:left="426"/>
        <w:rPr>
          <w:rFonts w:ascii="Arial" w:hAnsi="Arial" w:cs="Arial"/>
          <w:sz w:val="24"/>
          <w:szCs w:val="24"/>
        </w:rPr>
      </w:pPr>
    </w:p>
    <w:p w:rsidR="00CA0047" w:rsidRDefault="002E3673" w:rsidP="00E37473">
      <w:pPr>
        <w:pStyle w:val="ListParagraph"/>
        <w:numPr>
          <w:ilvl w:val="1"/>
          <w:numId w:val="1"/>
        </w:numPr>
        <w:spacing w:after="0"/>
        <w:ind w:left="426"/>
        <w:rPr>
          <w:rFonts w:ascii="Arial" w:hAnsi="Arial" w:cs="Arial"/>
          <w:sz w:val="24"/>
          <w:szCs w:val="24"/>
        </w:rPr>
      </w:pPr>
      <w:r>
        <w:rPr>
          <w:rFonts w:ascii="Arial" w:hAnsi="Arial" w:cs="Arial"/>
          <w:sz w:val="24"/>
          <w:szCs w:val="24"/>
        </w:rPr>
        <w:t xml:space="preserve">SIGOMA </w:t>
      </w:r>
      <w:r w:rsidR="00A05E5C">
        <w:rPr>
          <w:rFonts w:ascii="Arial" w:hAnsi="Arial" w:cs="Arial"/>
          <w:sz w:val="24"/>
          <w:szCs w:val="24"/>
        </w:rPr>
        <w:t>has participated in the working group discussions on the issue of top-ups and tariffs following revaluation. Under the circumstances this is accepted as the best practicable method of adjustment.</w:t>
      </w:r>
    </w:p>
    <w:p w:rsidR="00CA0047" w:rsidRPr="00CA0047" w:rsidRDefault="00CA0047" w:rsidP="00CA0047">
      <w:pPr>
        <w:pStyle w:val="ListParagraph"/>
        <w:rPr>
          <w:rFonts w:ascii="Arial" w:hAnsi="Arial" w:cs="Arial"/>
          <w:sz w:val="24"/>
          <w:szCs w:val="24"/>
        </w:rPr>
      </w:pPr>
    </w:p>
    <w:p w:rsidR="00CA0047" w:rsidRDefault="00A05E5C" w:rsidP="00E37473">
      <w:pPr>
        <w:pStyle w:val="ListParagraph"/>
        <w:numPr>
          <w:ilvl w:val="1"/>
          <w:numId w:val="1"/>
        </w:numPr>
        <w:spacing w:after="0"/>
        <w:ind w:left="426"/>
        <w:rPr>
          <w:rFonts w:ascii="Arial" w:hAnsi="Arial" w:cs="Arial"/>
          <w:sz w:val="24"/>
          <w:szCs w:val="24"/>
        </w:rPr>
      </w:pPr>
      <w:r>
        <w:rPr>
          <w:rFonts w:ascii="Arial" w:hAnsi="Arial" w:cs="Arial"/>
          <w:sz w:val="24"/>
          <w:szCs w:val="24"/>
        </w:rPr>
        <w:t>Some SIGOMA members still feel that they have been disadvantaged by the overall adjustment methodology at revaluation which did not take account of changes in value of hereditaments with reliefs which ran contrary to the changes in value of other hereditaments. This was particularly the case for authorities with university and college hereditaments.</w:t>
      </w:r>
    </w:p>
    <w:p w:rsidR="00CA0047" w:rsidRPr="00CA0047" w:rsidRDefault="00CA0047" w:rsidP="00CA0047">
      <w:pPr>
        <w:pStyle w:val="ListParagraph"/>
        <w:rPr>
          <w:rFonts w:ascii="Arial" w:hAnsi="Arial" w:cs="Arial"/>
          <w:sz w:val="24"/>
          <w:szCs w:val="24"/>
        </w:rPr>
      </w:pPr>
    </w:p>
    <w:p w:rsidR="00D35C4E" w:rsidRPr="00D35C4E" w:rsidRDefault="00A05E5C" w:rsidP="00D35C4E">
      <w:pPr>
        <w:pStyle w:val="ListParagraph"/>
        <w:numPr>
          <w:ilvl w:val="1"/>
          <w:numId w:val="1"/>
        </w:numPr>
        <w:spacing w:after="0"/>
        <w:ind w:left="426"/>
        <w:rPr>
          <w:rFonts w:ascii="Arial" w:hAnsi="Arial" w:cs="Arial"/>
          <w:sz w:val="24"/>
          <w:szCs w:val="24"/>
        </w:rPr>
      </w:pPr>
      <w:r>
        <w:rPr>
          <w:rFonts w:ascii="Arial" w:hAnsi="Arial" w:cs="Arial"/>
          <w:sz w:val="24"/>
          <w:szCs w:val="24"/>
        </w:rPr>
        <w:t>Many members have had difficulty in tracking the changes in tariffs and top ups and changes to s31 compensation as a result of cap compensation</w:t>
      </w:r>
      <w:r w:rsidR="00D35C4E">
        <w:rPr>
          <w:rFonts w:ascii="Arial" w:hAnsi="Arial" w:cs="Arial"/>
          <w:sz w:val="24"/>
          <w:szCs w:val="24"/>
        </w:rPr>
        <w:t>, emphasising the increasing complexity of the business rate system which it is hoped will be resolved by chan</w:t>
      </w:r>
      <w:bookmarkStart w:id="0" w:name="_GoBack"/>
      <w:bookmarkEnd w:id="0"/>
      <w:r w:rsidR="00D35C4E">
        <w:rPr>
          <w:rFonts w:ascii="Arial" w:hAnsi="Arial" w:cs="Arial"/>
          <w:sz w:val="24"/>
          <w:szCs w:val="24"/>
        </w:rPr>
        <w:t>ges to the business rate system.</w:t>
      </w:r>
    </w:p>
    <w:p w:rsidR="00CA0047" w:rsidRPr="00CA0047" w:rsidRDefault="00CA0047" w:rsidP="00CA0047">
      <w:pPr>
        <w:pStyle w:val="ListParagraph"/>
        <w:rPr>
          <w:rFonts w:ascii="Arial" w:hAnsi="Arial" w:cs="Arial"/>
          <w:sz w:val="24"/>
          <w:szCs w:val="24"/>
        </w:rPr>
      </w:pPr>
    </w:p>
    <w:p w:rsidR="00CA0047" w:rsidRPr="00D35C4E" w:rsidRDefault="00D35C4E" w:rsidP="00D35C4E">
      <w:pPr>
        <w:pStyle w:val="ListParagraph"/>
        <w:numPr>
          <w:ilvl w:val="0"/>
          <w:numId w:val="1"/>
        </w:numPr>
        <w:spacing w:after="0"/>
        <w:ind w:left="378"/>
        <w:rPr>
          <w:rFonts w:ascii="Arial" w:hAnsi="Arial" w:cs="Arial"/>
          <w:b/>
          <w:sz w:val="24"/>
          <w:szCs w:val="24"/>
        </w:rPr>
      </w:pPr>
      <w:r w:rsidRPr="00D35C4E">
        <w:rPr>
          <w:rFonts w:ascii="Arial" w:hAnsi="Arial" w:cs="Arial"/>
          <w:b/>
          <w:sz w:val="24"/>
          <w:szCs w:val="24"/>
        </w:rPr>
        <w:t>Question 8: Do you have any comments on the impact of the 2019-20 local government finance settlement on those who share a protected characteristic, and on the draft equality statement published alongside this consultation document? Please provide supporting evidence.</w:t>
      </w:r>
    </w:p>
    <w:p w:rsidR="00CA0047" w:rsidRPr="00CA0047" w:rsidRDefault="00CA0047" w:rsidP="00CA0047">
      <w:pPr>
        <w:pStyle w:val="ListParagraph"/>
        <w:rPr>
          <w:rFonts w:ascii="Arial" w:hAnsi="Arial" w:cs="Arial"/>
          <w:sz w:val="24"/>
          <w:szCs w:val="24"/>
        </w:rPr>
      </w:pPr>
    </w:p>
    <w:p w:rsidR="00CA0047" w:rsidRDefault="00D35C4E" w:rsidP="00E37473">
      <w:pPr>
        <w:pStyle w:val="ListParagraph"/>
        <w:numPr>
          <w:ilvl w:val="1"/>
          <w:numId w:val="1"/>
        </w:numPr>
        <w:spacing w:after="0"/>
        <w:ind w:left="426"/>
        <w:rPr>
          <w:rFonts w:ascii="Arial" w:hAnsi="Arial" w:cs="Arial"/>
          <w:sz w:val="24"/>
          <w:szCs w:val="24"/>
        </w:rPr>
      </w:pPr>
      <w:r>
        <w:rPr>
          <w:rFonts w:ascii="Arial" w:hAnsi="Arial" w:cs="Arial"/>
          <w:sz w:val="24"/>
          <w:szCs w:val="24"/>
        </w:rPr>
        <w:t>It is our view that the funding mechanism, including this settlement is likely to contribute to wide variations in the level of service that can be offered to the poor, elderly disabled and disadvantaged individuals in many of our communities.</w:t>
      </w:r>
    </w:p>
    <w:p w:rsidR="00CA0047" w:rsidRPr="00CA0047" w:rsidRDefault="00CA0047" w:rsidP="00CA0047">
      <w:pPr>
        <w:pStyle w:val="ListParagraph"/>
        <w:rPr>
          <w:rFonts w:ascii="Arial" w:hAnsi="Arial" w:cs="Arial"/>
          <w:sz w:val="24"/>
          <w:szCs w:val="24"/>
        </w:rPr>
      </w:pPr>
    </w:p>
    <w:p w:rsidR="00CA0047" w:rsidRDefault="00EF59F7" w:rsidP="00E37473">
      <w:pPr>
        <w:pStyle w:val="ListParagraph"/>
        <w:numPr>
          <w:ilvl w:val="1"/>
          <w:numId w:val="1"/>
        </w:numPr>
        <w:spacing w:after="0"/>
        <w:ind w:left="426"/>
        <w:rPr>
          <w:rFonts w:ascii="Arial" w:hAnsi="Arial" w:cs="Arial"/>
          <w:sz w:val="24"/>
          <w:szCs w:val="24"/>
        </w:rPr>
      </w:pPr>
      <w:r>
        <w:rPr>
          <w:rFonts w:ascii="Arial" w:hAnsi="Arial" w:cs="Arial"/>
          <w:sz w:val="24"/>
          <w:szCs w:val="24"/>
        </w:rPr>
        <w:t>MH</w:t>
      </w:r>
      <w:r w:rsidR="00D35C4E">
        <w:rPr>
          <w:rFonts w:ascii="Arial" w:hAnsi="Arial" w:cs="Arial"/>
          <w:sz w:val="24"/>
          <w:szCs w:val="24"/>
        </w:rPr>
        <w:t>CLG has now clearly stated that its policy of assessing the likelihood of an authority financial failure is assessing funding against an authority’s statutory duties.</w:t>
      </w:r>
    </w:p>
    <w:p w:rsidR="00CA0047" w:rsidRPr="00CA0047" w:rsidRDefault="00CA0047" w:rsidP="00CA0047">
      <w:pPr>
        <w:pStyle w:val="ListParagraph"/>
        <w:rPr>
          <w:rFonts w:ascii="Arial" w:hAnsi="Arial" w:cs="Arial"/>
          <w:sz w:val="24"/>
          <w:szCs w:val="24"/>
        </w:rPr>
      </w:pPr>
    </w:p>
    <w:p w:rsidR="00CA0047" w:rsidRDefault="00D35C4E" w:rsidP="00E37473">
      <w:pPr>
        <w:pStyle w:val="ListParagraph"/>
        <w:numPr>
          <w:ilvl w:val="1"/>
          <w:numId w:val="1"/>
        </w:numPr>
        <w:spacing w:after="0"/>
        <w:ind w:left="426"/>
        <w:rPr>
          <w:rFonts w:ascii="Arial" w:hAnsi="Arial" w:cs="Arial"/>
          <w:sz w:val="24"/>
          <w:szCs w:val="24"/>
        </w:rPr>
      </w:pPr>
      <w:r>
        <w:rPr>
          <w:rFonts w:ascii="Arial" w:hAnsi="Arial" w:cs="Arial"/>
          <w:sz w:val="24"/>
          <w:szCs w:val="24"/>
        </w:rPr>
        <w:t>This may leave many authorities</w:t>
      </w:r>
      <w:r w:rsidR="00EF59F7">
        <w:rPr>
          <w:rFonts w:ascii="Arial" w:hAnsi="Arial" w:cs="Arial"/>
          <w:sz w:val="24"/>
          <w:szCs w:val="24"/>
        </w:rPr>
        <w:t xml:space="preserve">, even </w:t>
      </w:r>
      <w:r w:rsidR="00A8386A">
        <w:rPr>
          <w:rFonts w:ascii="Arial" w:hAnsi="Arial" w:cs="Arial"/>
          <w:sz w:val="24"/>
          <w:szCs w:val="24"/>
        </w:rPr>
        <w:t>authorities</w:t>
      </w:r>
      <w:r>
        <w:rPr>
          <w:rFonts w:ascii="Arial" w:hAnsi="Arial" w:cs="Arial"/>
          <w:sz w:val="24"/>
          <w:szCs w:val="24"/>
        </w:rPr>
        <w:t xml:space="preserve"> who are not yet “at risk”</w:t>
      </w:r>
      <w:r w:rsidR="00EF59F7">
        <w:rPr>
          <w:rFonts w:ascii="Arial" w:hAnsi="Arial" w:cs="Arial"/>
          <w:sz w:val="24"/>
          <w:szCs w:val="24"/>
        </w:rPr>
        <w:t>,</w:t>
      </w:r>
      <w:r>
        <w:rPr>
          <w:rFonts w:ascii="Arial" w:hAnsi="Arial" w:cs="Arial"/>
          <w:sz w:val="24"/>
          <w:szCs w:val="24"/>
        </w:rPr>
        <w:t xml:space="preserve"> unable to invest in pro-active preventative measures to</w:t>
      </w:r>
      <w:r w:rsidR="00EF59F7">
        <w:rPr>
          <w:rFonts w:ascii="Arial" w:hAnsi="Arial" w:cs="Arial"/>
          <w:sz w:val="24"/>
          <w:szCs w:val="24"/>
        </w:rPr>
        <w:t xml:space="preserve"> assist</w:t>
      </w:r>
      <w:r>
        <w:rPr>
          <w:rFonts w:ascii="Arial" w:hAnsi="Arial" w:cs="Arial"/>
          <w:sz w:val="24"/>
          <w:szCs w:val="24"/>
        </w:rPr>
        <w:t xml:space="preserve"> those most in need.</w:t>
      </w:r>
    </w:p>
    <w:p w:rsidR="00AC5915" w:rsidRPr="00D957BA" w:rsidRDefault="00AC5915" w:rsidP="00D957BA">
      <w:pPr>
        <w:pStyle w:val="ListParagraph"/>
        <w:rPr>
          <w:rFonts w:ascii="Arial" w:hAnsi="Arial" w:cs="Arial"/>
          <w:sz w:val="24"/>
          <w:szCs w:val="24"/>
        </w:rPr>
      </w:pPr>
    </w:p>
    <w:p w:rsidR="00A53C10" w:rsidRDefault="00AC5915" w:rsidP="00E37473">
      <w:pPr>
        <w:pStyle w:val="ListParagraph"/>
        <w:numPr>
          <w:ilvl w:val="1"/>
          <w:numId w:val="1"/>
        </w:numPr>
        <w:spacing w:after="0"/>
        <w:ind w:left="426"/>
        <w:rPr>
          <w:rFonts w:ascii="Arial" w:hAnsi="Arial" w:cs="Arial"/>
          <w:sz w:val="24"/>
          <w:szCs w:val="24"/>
        </w:rPr>
      </w:pPr>
      <w:r>
        <w:rPr>
          <w:rFonts w:ascii="Arial" w:hAnsi="Arial" w:cs="Arial"/>
          <w:sz w:val="24"/>
          <w:szCs w:val="24"/>
        </w:rPr>
        <w:t xml:space="preserve">Many preventative services and early interventions are non-statutory. These services help </w:t>
      </w:r>
      <w:r w:rsidR="00A53C10">
        <w:rPr>
          <w:rFonts w:ascii="Arial" w:hAnsi="Arial" w:cs="Arial"/>
          <w:sz w:val="24"/>
          <w:szCs w:val="24"/>
        </w:rPr>
        <w:t xml:space="preserve">to </w:t>
      </w:r>
      <w:r>
        <w:rPr>
          <w:rFonts w:ascii="Arial" w:hAnsi="Arial" w:cs="Arial"/>
          <w:sz w:val="24"/>
          <w:szCs w:val="24"/>
        </w:rPr>
        <w:t xml:space="preserve">keep demand for crisis services under control. </w:t>
      </w:r>
    </w:p>
    <w:p w:rsidR="00A53C10" w:rsidRPr="00A53C10" w:rsidRDefault="00A53C10" w:rsidP="00A53C10">
      <w:pPr>
        <w:pStyle w:val="ListParagraph"/>
        <w:rPr>
          <w:rFonts w:ascii="Arial" w:hAnsi="Arial" w:cs="Arial"/>
          <w:sz w:val="24"/>
          <w:szCs w:val="24"/>
        </w:rPr>
      </w:pPr>
    </w:p>
    <w:p w:rsidR="00AC5915" w:rsidRDefault="00AC5915" w:rsidP="00E37473">
      <w:pPr>
        <w:pStyle w:val="ListParagraph"/>
        <w:numPr>
          <w:ilvl w:val="1"/>
          <w:numId w:val="1"/>
        </w:numPr>
        <w:spacing w:after="0"/>
        <w:ind w:left="426"/>
        <w:rPr>
          <w:rFonts w:ascii="Arial" w:hAnsi="Arial" w:cs="Arial"/>
          <w:sz w:val="24"/>
          <w:szCs w:val="24"/>
        </w:rPr>
      </w:pPr>
      <w:r>
        <w:rPr>
          <w:rFonts w:ascii="Arial" w:hAnsi="Arial" w:cs="Arial"/>
          <w:sz w:val="24"/>
          <w:szCs w:val="24"/>
        </w:rPr>
        <w:t xml:space="preserve">Therefore, only ensuring authorities have sufficient resources to provide </w:t>
      </w:r>
      <w:proofErr w:type="gramStart"/>
      <w:r>
        <w:rPr>
          <w:rFonts w:ascii="Arial" w:hAnsi="Arial" w:cs="Arial"/>
          <w:sz w:val="24"/>
          <w:szCs w:val="24"/>
        </w:rPr>
        <w:t>stat</w:t>
      </w:r>
      <w:r w:rsidR="00A53C10">
        <w:rPr>
          <w:rFonts w:ascii="Arial" w:hAnsi="Arial" w:cs="Arial"/>
          <w:sz w:val="24"/>
          <w:szCs w:val="24"/>
        </w:rPr>
        <w:t>utory services is</w:t>
      </w:r>
      <w:proofErr w:type="gramEnd"/>
      <w:r w:rsidR="00A53C10">
        <w:rPr>
          <w:rFonts w:ascii="Arial" w:hAnsi="Arial" w:cs="Arial"/>
          <w:sz w:val="24"/>
          <w:szCs w:val="24"/>
        </w:rPr>
        <w:t xml:space="preserve"> not </w:t>
      </w:r>
      <w:r>
        <w:rPr>
          <w:rFonts w:ascii="Arial" w:hAnsi="Arial" w:cs="Arial"/>
          <w:sz w:val="24"/>
          <w:szCs w:val="24"/>
        </w:rPr>
        <w:t>a sustainable approach. Without vital non-statutory services demand will increase at a faster rate than it otherwise would have and councils will in time become unable to fulfil their statutory obligations to the standards residents expect.</w:t>
      </w:r>
    </w:p>
    <w:p w:rsidR="00E37473" w:rsidRDefault="00E37473" w:rsidP="00D35C4E">
      <w:pPr>
        <w:spacing w:after="0"/>
      </w:pPr>
    </w:p>
    <w:sectPr w:rsidR="00E3747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7BA" w:rsidRDefault="00D957BA" w:rsidP="00E37473">
      <w:pPr>
        <w:spacing w:after="0" w:line="240" w:lineRule="auto"/>
      </w:pPr>
      <w:r>
        <w:separator/>
      </w:r>
    </w:p>
  </w:endnote>
  <w:endnote w:type="continuationSeparator" w:id="0">
    <w:p w:rsidR="00D957BA" w:rsidRDefault="00D957BA" w:rsidP="00E37473">
      <w:pPr>
        <w:spacing w:after="0" w:line="240" w:lineRule="auto"/>
      </w:pPr>
      <w:r>
        <w:continuationSeparator/>
      </w:r>
    </w:p>
  </w:endnote>
  <w:endnote w:type="continuationNotice" w:id="1">
    <w:p w:rsidR="00D957BA" w:rsidRDefault="00D957BA">
      <w:pPr>
        <w:spacing w:after="0" w:line="240" w:lineRule="auto"/>
      </w:pPr>
    </w:p>
  </w:endnote>
  <w:endnote w:id="2">
    <w:p w:rsidR="00E37473" w:rsidRDefault="00E37473" w:rsidP="00E37473">
      <w:pPr>
        <w:pStyle w:val="EndnoteText"/>
      </w:pPr>
      <w:r>
        <w:rPr>
          <w:rStyle w:val="EndnoteReference"/>
        </w:rPr>
        <w:endnoteRef/>
      </w:r>
      <w:r>
        <w:t xml:space="preserve"> The Index of Multiple Deprivation 2015 as published by MHCLG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382355"/>
      <w:docPartObj>
        <w:docPartGallery w:val="Page Numbers (Bottom of Page)"/>
        <w:docPartUnique/>
      </w:docPartObj>
    </w:sdtPr>
    <w:sdtEndPr>
      <w:rPr>
        <w:color w:val="808080" w:themeColor="background1" w:themeShade="80"/>
        <w:spacing w:val="60"/>
      </w:rPr>
    </w:sdtEndPr>
    <w:sdtContent>
      <w:p w:rsidR="00ED2F89" w:rsidRDefault="00ED2F8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10C40" w:rsidRPr="00D10C40">
          <w:rPr>
            <w:b/>
            <w:bCs/>
            <w:noProof/>
          </w:rPr>
          <w:t>1</w:t>
        </w:r>
        <w:r>
          <w:rPr>
            <w:b/>
            <w:bCs/>
            <w:noProof/>
          </w:rPr>
          <w:fldChar w:fldCharType="end"/>
        </w:r>
        <w:r>
          <w:rPr>
            <w:b/>
            <w:bCs/>
          </w:rPr>
          <w:t xml:space="preserve"> | </w:t>
        </w:r>
        <w:r>
          <w:rPr>
            <w:color w:val="808080" w:themeColor="background1" w:themeShade="80"/>
            <w:spacing w:val="60"/>
          </w:rPr>
          <w:t>Page</w:t>
        </w:r>
      </w:p>
    </w:sdtContent>
  </w:sdt>
  <w:p w:rsidR="00ED2F89" w:rsidRDefault="00ED2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7BA" w:rsidRDefault="00D957BA" w:rsidP="00E37473">
      <w:pPr>
        <w:spacing w:after="0" w:line="240" w:lineRule="auto"/>
      </w:pPr>
      <w:r>
        <w:separator/>
      </w:r>
    </w:p>
  </w:footnote>
  <w:footnote w:type="continuationSeparator" w:id="0">
    <w:p w:rsidR="00D957BA" w:rsidRDefault="00D957BA" w:rsidP="00E37473">
      <w:pPr>
        <w:spacing w:after="0" w:line="240" w:lineRule="auto"/>
      </w:pPr>
      <w:r>
        <w:continuationSeparator/>
      </w:r>
    </w:p>
  </w:footnote>
  <w:footnote w:type="continuationNotice" w:id="1">
    <w:p w:rsidR="00D957BA" w:rsidRDefault="00D957BA">
      <w:pPr>
        <w:spacing w:after="0" w:line="240" w:lineRule="auto"/>
      </w:pPr>
    </w:p>
  </w:footnote>
  <w:footnote w:id="2">
    <w:p w:rsidR="00683748" w:rsidRDefault="00683748">
      <w:pPr>
        <w:pStyle w:val="FootnoteText"/>
      </w:pPr>
      <w:r>
        <w:rPr>
          <w:rStyle w:val="FootnoteReference"/>
        </w:rPr>
        <w:footnoteRef/>
      </w:r>
      <w:r>
        <w:t xml:space="preserve"> </w:t>
      </w:r>
      <w:r w:rsidR="00907B9C">
        <w:t xml:space="preserve">“Of the 51 expenditure groups considered, sparsity was found to be positively and significantly related to unit costs in 11 cases. These services accounted for £7.0bn (or 15.0%) of local authorities’ total expenditure in 2012/13. Sparsity was significantly and negatively associated with unit costs in 15 cases. These expenditure groups accounted for £14.6bn (or 31.1%) of total expenditure in 2012/13. In the remaining 25 cases, sparsity was not found to have a statistically significant effect on unit costs. These groups accounted for £25.3bn (or 53.9%) of total expenditure.” </w:t>
      </w:r>
      <w:hyperlink r:id="rId1" w:history="1">
        <w:r w:rsidR="00907B9C" w:rsidRPr="00907B9C">
          <w:rPr>
            <w:rStyle w:val="Hyperlink"/>
          </w:rPr>
          <w:t>LG Futures (Dec 2014) DCLG/DEFRA Research into Drivers of Service Costs in Rural Areas p4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7BA" w:rsidRDefault="00D957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A93"/>
    <w:multiLevelType w:val="multilevel"/>
    <w:tmpl w:val="0809001F"/>
    <w:lvl w:ilvl="0">
      <w:start w:val="1"/>
      <w:numFmt w:val="decimal"/>
      <w:lvlText w:val="%1."/>
      <w:lvlJc w:val="left"/>
      <w:pPr>
        <w:ind w:left="3479" w:hanging="360"/>
      </w:pPr>
    </w:lvl>
    <w:lvl w:ilvl="1">
      <w:start w:val="1"/>
      <w:numFmt w:val="decimal"/>
      <w:lvlText w:val="%1.%2."/>
      <w:lvlJc w:val="left"/>
      <w:pPr>
        <w:ind w:left="3769" w:hanging="432"/>
      </w:pPr>
    </w:lvl>
    <w:lvl w:ilvl="2">
      <w:start w:val="1"/>
      <w:numFmt w:val="decimal"/>
      <w:lvlText w:val="%1.%2.%3."/>
      <w:lvlJc w:val="left"/>
      <w:pPr>
        <w:ind w:left="4201" w:hanging="504"/>
      </w:pPr>
    </w:lvl>
    <w:lvl w:ilvl="3">
      <w:start w:val="1"/>
      <w:numFmt w:val="decimal"/>
      <w:lvlText w:val="%1.%2.%3.%4."/>
      <w:lvlJc w:val="left"/>
      <w:pPr>
        <w:ind w:left="4705" w:hanging="648"/>
      </w:pPr>
    </w:lvl>
    <w:lvl w:ilvl="4">
      <w:start w:val="1"/>
      <w:numFmt w:val="decimal"/>
      <w:lvlText w:val="%1.%2.%3.%4.%5."/>
      <w:lvlJc w:val="left"/>
      <w:pPr>
        <w:ind w:left="5209" w:hanging="792"/>
      </w:pPr>
    </w:lvl>
    <w:lvl w:ilvl="5">
      <w:start w:val="1"/>
      <w:numFmt w:val="decimal"/>
      <w:lvlText w:val="%1.%2.%3.%4.%5.%6."/>
      <w:lvlJc w:val="left"/>
      <w:pPr>
        <w:ind w:left="5713" w:hanging="936"/>
      </w:pPr>
    </w:lvl>
    <w:lvl w:ilvl="6">
      <w:start w:val="1"/>
      <w:numFmt w:val="decimal"/>
      <w:lvlText w:val="%1.%2.%3.%4.%5.%6.%7."/>
      <w:lvlJc w:val="left"/>
      <w:pPr>
        <w:ind w:left="6217" w:hanging="1080"/>
      </w:pPr>
    </w:lvl>
    <w:lvl w:ilvl="7">
      <w:start w:val="1"/>
      <w:numFmt w:val="decimal"/>
      <w:lvlText w:val="%1.%2.%3.%4.%5.%6.%7.%8."/>
      <w:lvlJc w:val="left"/>
      <w:pPr>
        <w:ind w:left="6721" w:hanging="1224"/>
      </w:pPr>
    </w:lvl>
    <w:lvl w:ilvl="8">
      <w:start w:val="1"/>
      <w:numFmt w:val="decimal"/>
      <w:lvlText w:val="%1.%2.%3.%4.%5.%6.%7.%8.%9."/>
      <w:lvlJc w:val="left"/>
      <w:pPr>
        <w:ind w:left="7297"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473"/>
    <w:rsid w:val="001054A2"/>
    <w:rsid w:val="00122F3F"/>
    <w:rsid w:val="00215E17"/>
    <w:rsid w:val="0028053D"/>
    <w:rsid w:val="002A26AA"/>
    <w:rsid w:val="002E3673"/>
    <w:rsid w:val="003527C2"/>
    <w:rsid w:val="003815B9"/>
    <w:rsid w:val="00390F07"/>
    <w:rsid w:val="00394257"/>
    <w:rsid w:val="0046061F"/>
    <w:rsid w:val="004C58E5"/>
    <w:rsid w:val="004E5258"/>
    <w:rsid w:val="00512BBD"/>
    <w:rsid w:val="00515705"/>
    <w:rsid w:val="005765C5"/>
    <w:rsid w:val="00620687"/>
    <w:rsid w:val="00636E61"/>
    <w:rsid w:val="00640448"/>
    <w:rsid w:val="00675412"/>
    <w:rsid w:val="00683748"/>
    <w:rsid w:val="006E439E"/>
    <w:rsid w:val="006E7B9C"/>
    <w:rsid w:val="006F29CD"/>
    <w:rsid w:val="006F70B8"/>
    <w:rsid w:val="00737E4C"/>
    <w:rsid w:val="00795C14"/>
    <w:rsid w:val="007B48A5"/>
    <w:rsid w:val="00816E39"/>
    <w:rsid w:val="008463D5"/>
    <w:rsid w:val="00862FDB"/>
    <w:rsid w:val="00907B9C"/>
    <w:rsid w:val="00952718"/>
    <w:rsid w:val="009815B8"/>
    <w:rsid w:val="00995A71"/>
    <w:rsid w:val="009D7D9F"/>
    <w:rsid w:val="00A05E5C"/>
    <w:rsid w:val="00A53C10"/>
    <w:rsid w:val="00A77A31"/>
    <w:rsid w:val="00A8386A"/>
    <w:rsid w:val="00A931E9"/>
    <w:rsid w:val="00A9712A"/>
    <w:rsid w:val="00AC5915"/>
    <w:rsid w:val="00AD4667"/>
    <w:rsid w:val="00B23C8A"/>
    <w:rsid w:val="00B41C80"/>
    <w:rsid w:val="00C5645F"/>
    <w:rsid w:val="00CA0047"/>
    <w:rsid w:val="00D10C40"/>
    <w:rsid w:val="00D35C4E"/>
    <w:rsid w:val="00D46481"/>
    <w:rsid w:val="00D47A8C"/>
    <w:rsid w:val="00D957BA"/>
    <w:rsid w:val="00DE5686"/>
    <w:rsid w:val="00E31AB1"/>
    <w:rsid w:val="00E37473"/>
    <w:rsid w:val="00E77E61"/>
    <w:rsid w:val="00ED2B6C"/>
    <w:rsid w:val="00ED2F89"/>
    <w:rsid w:val="00EF16C1"/>
    <w:rsid w:val="00EF59F7"/>
    <w:rsid w:val="00F52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473"/>
    <w:rPr>
      <w:rFonts w:ascii="Tahoma" w:hAnsi="Tahoma" w:cs="Tahoma"/>
      <w:sz w:val="16"/>
      <w:szCs w:val="16"/>
    </w:rPr>
  </w:style>
  <w:style w:type="paragraph" w:styleId="ListParagraph">
    <w:name w:val="List Paragraph"/>
    <w:basedOn w:val="Normal"/>
    <w:uiPriority w:val="34"/>
    <w:qFormat/>
    <w:rsid w:val="00E37473"/>
    <w:pPr>
      <w:ind w:left="720"/>
      <w:contextualSpacing/>
    </w:pPr>
  </w:style>
  <w:style w:type="paragraph" w:styleId="EndnoteText">
    <w:name w:val="endnote text"/>
    <w:basedOn w:val="Normal"/>
    <w:link w:val="EndnoteTextChar"/>
    <w:uiPriority w:val="99"/>
    <w:semiHidden/>
    <w:unhideWhenUsed/>
    <w:rsid w:val="00E374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7473"/>
    <w:rPr>
      <w:sz w:val="20"/>
      <w:szCs w:val="20"/>
    </w:rPr>
  </w:style>
  <w:style w:type="character" w:styleId="EndnoteReference">
    <w:name w:val="endnote reference"/>
    <w:basedOn w:val="DefaultParagraphFont"/>
    <w:uiPriority w:val="99"/>
    <w:semiHidden/>
    <w:unhideWhenUsed/>
    <w:rsid w:val="00E37473"/>
    <w:rPr>
      <w:vertAlign w:val="superscript"/>
    </w:rPr>
  </w:style>
  <w:style w:type="paragraph" w:styleId="Header">
    <w:name w:val="header"/>
    <w:basedOn w:val="Normal"/>
    <w:link w:val="HeaderChar"/>
    <w:uiPriority w:val="99"/>
    <w:unhideWhenUsed/>
    <w:rsid w:val="00ED2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F89"/>
  </w:style>
  <w:style w:type="paragraph" w:styleId="Footer">
    <w:name w:val="footer"/>
    <w:basedOn w:val="Normal"/>
    <w:link w:val="FooterChar"/>
    <w:uiPriority w:val="99"/>
    <w:unhideWhenUsed/>
    <w:rsid w:val="00ED2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F89"/>
  </w:style>
  <w:style w:type="paragraph" w:styleId="FootnoteText">
    <w:name w:val="footnote text"/>
    <w:basedOn w:val="Normal"/>
    <w:link w:val="FootnoteTextChar"/>
    <w:uiPriority w:val="99"/>
    <w:semiHidden/>
    <w:unhideWhenUsed/>
    <w:rsid w:val="006754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5412"/>
    <w:rPr>
      <w:sz w:val="20"/>
      <w:szCs w:val="20"/>
    </w:rPr>
  </w:style>
  <w:style w:type="character" w:styleId="FootnoteReference">
    <w:name w:val="footnote reference"/>
    <w:basedOn w:val="DefaultParagraphFont"/>
    <w:uiPriority w:val="99"/>
    <w:semiHidden/>
    <w:unhideWhenUsed/>
    <w:rsid w:val="00675412"/>
    <w:rPr>
      <w:vertAlign w:val="superscript"/>
    </w:rPr>
  </w:style>
  <w:style w:type="character" w:styleId="CommentReference">
    <w:name w:val="annotation reference"/>
    <w:basedOn w:val="DefaultParagraphFont"/>
    <w:uiPriority w:val="99"/>
    <w:semiHidden/>
    <w:unhideWhenUsed/>
    <w:rsid w:val="00675412"/>
    <w:rPr>
      <w:sz w:val="16"/>
      <w:szCs w:val="16"/>
    </w:rPr>
  </w:style>
  <w:style w:type="paragraph" w:styleId="CommentText">
    <w:name w:val="annotation text"/>
    <w:basedOn w:val="Normal"/>
    <w:link w:val="CommentTextChar"/>
    <w:uiPriority w:val="99"/>
    <w:semiHidden/>
    <w:unhideWhenUsed/>
    <w:rsid w:val="00675412"/>
    <w:pPr>
      <w:spacing w:line="240" w:lineRule="auto"/>
    </w:pPr>
    <w:rPr>
      <w:sz w:val="20"/>
      <w:szCs w:val="20"/>
    </w:rPr>
  </w:style>
  <w:style w:type="character" w:customStyle="1" w:styleId="CommentTextChar">
    <w:name w:val="Comment Text Char"/>
    <w:basedOn w:val="DefaultParagraphFont"/>
    <w:link w:val="CommentText"/>
    <w:uiPriority w:val="99"/>
    <w:semiHidden/>
    <w:rsid w:val="00675412"/>
    <w:rPr>
      <w:sz w:val="20"/>
      <w:szCs w:val="20"/>
    </w:rPr>
  </w:style>
  <w:style w:type="paragraph" w:styleId="CommentSubject">
    <w:name w:val="annotation subject"/>
    <w:basedOn w:val="CommentText"/>
    <w:next w:val="CommentText"/>
    <w:link w:val="CommentSubjectChar"/>
    <w:uiPriority w:val="99"/>
    <w:semiHidden/>
    <w:unhideWhenUsed/>
    <w:rsid w:val="00675412"/>
    <w:rPr>
      <w:b/>
      <w:bCs/>
    </w:rPr>
  </w:style>
  <w:style w:type="character" w:customStyle="1" w:styleId="CommentSubjectChar">
    <w:name w:val="Comment Subject Char"/>
    <w:basedOn w:val="CommentTextChar"/>
    <w:link w:val="CommentSubject"/>
    <w:uiPriority w:val="99"/>
    <w:semiHidden/>
    <w:rsid w:val="00675412"/>
    <w:rPr>
      <w:b/>
      <w:bCs/>
      <w:sz w:val="20"/>
      <w:szCs w:val="20"/>
    </w:rPr>
  </w:style>
  <w:style w:type="character" w:styleId="Hyperlink">
    <w:name w:val="Hyperlink"/>
    <w:basedOn w:val="DefaultParagraphFont"/>
    <w:uiPriority w:val="99"/>
    <w:unhideWhenUsed/>
    <w:rsid w:val="00A77A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473"/>
    <w:rPr>
      <w:rFonts w:ascii="Tahoma" w:hAnsi="Tahoma" w:cs="Tahoma"/>
      <w:sz w:val="16"/>
      <w:szCs w:val="16"/>
    </w:rPr>
  </w:style>
  <w:style w:type="paragraph" w:styleId="ListParagraph">
    <w:name w:val="List Paragraph"/>
    <w:basedOn w:val="Normal"/>
    <w:uiPriority w:val="34"/>
    <w:qFormat/>
    <w:rsid w:val="00E37473"/>
    <w:pPr>
      <w:ind w:left="720"/>
      <w:contextualSpacing/>
    </w:pPr>
  </w:style>
  <w:style w:type="paragraph" w:styleId="EndnoteText">
    <w:name w:val="endnote text"/>
    <w:basedOn w:val="Normal"/>
    <w:link w:val="EndnoteTextChar"/>
    <w:uiPriority w:val="99"/>
    <w:semiHidden/>
    <w:unhideWhenUsed/>
    <w:rsid w:val="00E374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7473"/>
    <w:rPr>
      <w:sz w:val="20"/>
      <w:szCs w:val="20"/>
    </w:rPr>
  </w:style>
  <w:style w:type="character" w:styleId="EndnoteReference">
    <w:name w:val="endnote reference"/>
    <w:basedOn w:val="DefaultParagraphFont"/>
    <w:uiPriority w:val="99"/>
    <w:semiHidden/>
    <w:unhideWhenUsed/>
    <w:rsid w:val="00E37473"/>
    <w:rPr>
      <w:vertAlign w:val="superscript"/>
    </w:rPr>
  </w:style>
  <w:style w:type="paragraph" w:styleId="Header">
    <w:name w:val="header"/>
    <w:basedOn w:val="Normal"/>
    <w:link w:val="HeaderChar"/>
    <w:uiPriority w:val="99"/>
    <w:unhideWhenUsed/>
    <w:rsid w:val="00ED2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F89"/>
  </w:style>
  <w:style w:type="paragraph" w:styleId="Footer">
    <w:name w:val="footer"/>
    <w:basedOn w:val="Normal"/>
    <w:link w:val="FooterChar"/>
    <w:uiPriority w:val="99"/>
    <w:unhideWhenUsed/>
    <w:rsid w:val="00ED2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F89"/>
  </w:style>
  <w:style w:type="paragraph" w:styleId="FootnoteText">
    <w:name w:val="footnote text"/>
    <w:basedOn w:val="Normal"/>
    <w:link w:val="FootnoteTextChar"/>
    <w:uiPriority w:val="99"/>
    <w:semiHidden/>
    <w:unhideWhenUsed/>
    <w:rsid w:val="006754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5412"/>
    <w:rPr>
      <w:sz w:val="20"/>
      <w:szCs w:val="20"/>
    </w:rPr>
  </w:style>
  <w:style w:type="character" w:styleId="FootnoteReference">
    <w:name w:val="footnote reference"/>
    <w:basedOn w:val="DefaultParagraphFont"/>
    <w:uiPriority w:val="99"/>
    <w:semiHidden/>
    <w:unhideWhenUsed/>
    <w:rsid w:val="00675412"/>
    <w:rPr>
      <w:vertAlign w:val="superscript"/>
    </w:rPr>
  </w:style>
  <w:style w:type="character" w:styleId="CommentReference">
    <w:name w:val="annotation reference"/>
    <w:basedOn w:val="DefaultParagraphFont"/>
    <w:uiPriority w:val="99"/>
    <w:semiHidden/>
    <w:unhideWhenUsed/>
    <w:rsid w:val="00675412"/>
    <w:rPr>
      <w:sz w:val="16"/>
      <w:szCs w:val="16"/>
    </w:rPr>
  </w:style>
  <w:style w:type="paragraph" w:styleId="CommentText">
    <w:name w:val="annotation text"/>
    <w:basedOn w:val="Normal"/>
    <w:link w:val="CommentTextChar"/>
    <w:uiPriority w:val="99"/>
    <w:semiHidden/>
    <w:unhideWhenUsed/>
    <w:rsid w:val="00675412"/>
    <w:pPr>
      <w:spacing w:line="240" w:lineRule="auto"/>
    </w:pPr>
    <w:rPr>
      <w:sz w:val="20"/>
      <w:szCs w:val="20"/>
    </w:rPr>
  </w:style>
  <w:style w:type="character" w:customStyle="1" w:styleId="CommentTextChar">
    <w:name w:val="Comment Text Char"/>
    <w:basedOn w:val="DefaultParagraphFont"/>
    <w:link w:val="CommentText"/>
    <w:uiPriority w:val="99"/>
    <w:semiHidden/>
    <w:rsid w:val="00675412"/>
    <w:rPr>
      <w:sz w:val="20"/>
      <w:szCs w:val="20"/>
    </w:rPr>
  </w:style>
  <w:style w:type="paragraph" w:styleId="CommentSubject">
    <w:name w:val="annotation subject"/>
    <w:basedOn w:val="CommentText"/>
    <w:next w:val="CommentText"/>
    <w:link w:val="CommentSubjectChar"/>
    <w:uiPriority w:val="99"/>
    <w:semiHidden/>
    <w:unhideWhenUsed/>
    <w:rsid w:val="00675412"/>
    <w:rPr>
      <w:b/>
      <w:bCs/>
    </w:rPr>
  </w:style>
  <w:style w:type="character" w:customStyle="1" w:styleId="CommentSubjectChar">
    <w:name w:val="Comment Subject Char"/>
    <w:basedOn w:val="CommentTextChar"/>
    <w:link w:val="CommentSubject"/>
    <w:uiPriority w:val="99"/>
    <w:semiHidden/>
    <w:rsid w:val="00675412"/>
    <w:rPr>
      <w:b/>
      <w:bCs/>
      <w:sz w:val="20"/>
      <w:szCs w:val="20"/>
    </w:rPr>
  </w:style>
  <w:style w:type="character" w:styleId="Hyperlink">
    <w:name w:val="Hyperlink"/>
    <w:basedOn w:val="DefaultParagraphFont"/>
    <w:uiPriority w:val="99"/>
    <w:unhideWhenUsed/>
    <w:rsid w:val="00A77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388595/Rural_main_report.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bmbcdata5.bmbcntd.barnsley.gov.uk\BTDATA\Sigoma\Budget%20Analysis\Settlements\2019-20\settlement%20analysis2.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Sheet1!$D$9</c:f>
              <c:strCache>
                <c:ptCount val="1"/>
                <c:pt idx="0">
                  <c:v>non sigoma</c:v>
                </c:pt>
              </c:strCache>
            </c:strRef>
          </c:tx>
          <c:spPr>
            <a:solidFill>
              <a:schemeClr val="tx2"/>
            </a:solidFill>
          </c:spPr>
          <c:invertIfNegative val="0"/>
          <c:cat>
            <c:strRef>
              <c:f>Sheet1!$E$9:$E$391</c:f>
              <c:strCache>
                <c:ptCount val="310"/>
                <c:pt idx="0">
                  <c:v>sigoma</c:v>
                </c:pt>
                <c:pt idx="9">
                  <c:v>1.01%</c:v>
                </c:pt>
                <c:pt idx="10">
                  <c:v>1.04%</c:v>
                </c:pt>
                <c:pt idx="14">
                  <c:v>1.11%</c:v>
                </c:pt>
                <c:pt idx="15">
                  <c:v>1.12%</c:v>
                </c:pt>
                <c:pt idx="17">
                  <c:v>1.14%</c:v>
                </c:pt>
                <c:pt idx="24">
                  <c:v>1.21%</c:v>
                </c:pt>
                <c:pt idx="25">
                  <c:v>1.22%</c:v>
                </c:pt>
                <c:pt idx="26">
                  <c:v>1.22%</c:v>
                </c:pt>
                <c:pt idx="28">
                  <c:v>1.25%</c:v>
                </c:pt>
                <c:pt idx="29">
                  <c:v>1.25%</c:v>
                </c:pt>
                <c:pt idx="30">
                  <c:v>1.25%</c:v>
                </c:pt>
                <c:pt idx="36">
                  <c:v>1.28%</c:v>
                </c:pt>
                <c:pt idx="41">
                  <c:v>1.32%</c:v>
                </c:pt>
                <c:pt idx="49">
                  <c:v>1.37%</c:v>
                </c:pt>
                <c:pt idx="51">
                  <c:v>1.37%</c:v>
                </c:pt>
                <c:pt idx="53">
                  <c:v>1.38%</c:v>
                </c:pt>
                <c:pt idx="55">
                  <c:v>1.38%</c:v>
                </c:pt>
                <c:pt idx="62">
                  <c:v>1.41%</c:v>
                </c:pt>
                <c:pt idx="64">
                  <c:v>1.41%</c:v>
                </c:pt>
                <c:pt idx="69">
                  <c:v>1.43%</c:v>
                </c:pt>
                <c:pt idx="77">
                  <c:v>1.47%</c:v>
                </c:pt>
                <c:pt idx="84">
                  <c:v>1.48%</c:v>
                </c:pt>
                <c:pt idx="86">
                  <c:v>1.49%</c:v>
                </c:pt>
                <c:pt idx="88">
                  <c:v>1.49%</c:v>
                </c:pt>
                <c:pt idx="91">
                  <c:v>1.50%</c:v>
                </c:pt>
                <c:pt idx="92">
                  <c:v>1.50%</c:v>
                </c:pt>
                <c:pt idx="93">
                  <c:v>1.50%</c:v>
                </c:pt>
                <c:pt idx="94">
                  <c:v>1.51%</c:v>
                </c:pt>
                <c:pt idx="95">
                  <c:v>1.51%</c:v>
                </c:pt>
                <c:pt idx="100">
                  <c:v>1.53%</c:v>
                </c:pt>
                <c:pt idx="101">
                  <c:v>1.53%</c:v>
                </c:pt>
                <c:pt idx="104">
                  <c:v>1.54%</c:v>
                </c:pt>
                <c:pt idx="106">
                  <c:v>1.54%</c:v>
                </c:pt>
                <c:pt idx="108">
                  <c:v>1.54%</c:v>
                </c:pt>
                <c:pt idx="116">
                  <c:v>1.56%</c:v>
                </c:pt>
                <c:pt idx="126">
                  <c:v>1.58%</c:v>
                </c:pt>
                <c:pt idx="133">
                  <c:v>1.60%</c:v>
                </c:pt>
                <c:pt idx="144">
                  <c:v>1.63%</c:v>
                </c:pt>
                <c:pt idx="145">
                  <c:v>1.63%</c:v>
                </c:pt>
                <c:pt idx="158">
                  <c:v>1.67%</c:v>
                </c:pt>
                <c:pt idx="185">
                  <c:v>1.74%</c:v>
                </c:pt>
                <c:pt idx="189">
                  <c:v>1.75%</c:v>
                </c:pt>
                <c:pt idx="204">
                  <c:v>1.79%</c:v>
                </c:pt>
                <c:pt idx="205">
                  <c:v>1.79%</c:v>
                </c:pt>
                <c:pt idx="247">
                  <c:v>1.90%</c:v>
                </c:pt>
                <c:pt idx="290">
                  <c:v>2.03%</c:v>
                </c:pt>
                <c:pt idx="309">
                  <c:v>2.06%</c:v>
                </c:pt>
              </c:strCache>
            </c:strRef>
          </c:cat>
          <c:val>
            <c:numRef>
              <c:f>Sheet1!$D$10:$D$392</c:f>
              <c:numCache>
                <c:formatCode>0.00%</c:formatCode>
                <c:ptCount val="383"/>
                <c:pt idx="0">
                  <c:v>5.5999999999999999E-3</c:v>
                </c:pt>
                <c:pt idx="1">
                  <c:v>7.9000000000000008E-3</c:v>
                </c:pt>
                <c:pt idx="2">
                  <c:v>8.6E-3</c:v>
                </c:pt>
                <c:pt idx="3">
                  <c:v>8.9999999999999993E-3</c:v>
                </c:pt>
                <c:pt idx="4">
                  <c:v>9.1000000000000004E-3</c:v>
                </c:pt>
                <c:pt idx="5">
                  <c:v>9.4999999999999998E-3</c:v>
                </c:pt>
                <c:pt idx="6">
                  <c:v>9.7000000000000003E-3</c:v>
                </c:pt>
                <c:pt idx="7">
                  <c:v>0.01</c:v>
                </c:pt>
                <c:pt idx="8">
                  <c:v>0</c:v>
                </c:pt>
                <c:pt idx="9">
                  <c:v>0</c:v>
                </c:pt>
                <c:pt idx="10">
                  <c:v>1.0699999999999999E-2</c:v>
                </c:pt>
                <c:pt idx="11">
                  <c:v>1.09E-2</c:v>
                </c:pt>
                <c:pt idx="12">
                  <c:v>1.0999999999999999E-2</c:v>
                </c:pt>
                <c:pt idx="13">
                  <c:v>0</c:v>
                </c:pt>
                <c:pt idx="14">
                  <c:v>0</c:v>
                </c:pt>
                <c:pt idx="15">
                  <c:v>1.1299999999999999E-2</c:v>
                </c:pt>
                <c:pt idx="16">
                  <c:v>0</c:v>
                </c:pt>
                <c:pt idx="17">
                  <c:v>1.1599999999999999E-2</c:v>
                </c:pt>
                <c:pt idx="18">
                  <c:v>1.1599999999999999E-2</c:v>
                </c:pt>
                <c:pt idx="19">
                  <c:v>1.18E-2</c:v>
                </c:pt>
                <c:pt idx="20">
                  <c:v>1.1900000000000001E-2</c:v>
                </c:pt>
                <c:pt idx="21">
                  <c:v>1.2E-2</c:v>
                </c:pt>
                <c:pt idx="22">
                  <c:v>1.21E-2</c:v>
                </c:pt>
                <c:pt idx="23">
                  <c:v>0</c:v>
                </c:pt>
                <c:pt idx="24">
                  <c:v>0</c:v>
                </c:pt>
                <c:pt idx="25">
                  <c:v>0</c:v>
                </c:pt>
                <c:pt idx="26">
                  <c:v>1.23E-2</c:v>
                </c:pt>
                <c:pt idx="27">
                  <c:v>0</c:v>
                </c:pt>
                <c:pt idx="28">
                  <c:v>0</c:v>
                </c:pt>
                <c:pt idx="29">
                  <c:v>0</c:v>
                </c:pt>
                <c:pt idx="30">
                  <c:v>1.26E-2</c:v>
                </c:pt>
                <c:pt idx="31">
                  <c:v>1.26E-2</c:v>
                </c:pt>
                <c:pt idx="32">
                  <c:v>1.26E-2</c:v>
                </c:pt>
                <c:pt idx="33">
                  <c:v>1.2699999999999999E-2</c:v>
                </c:pt>
                <c:pt idx="34">
                  <c:v>1.2699999999999999E-2</c:v>
                </c:pt>
                <c:pt idx="35">
                  <c:v>0</c:v>
                </c:pt>
                <c:pt idx="36">
                  <c:v>1.2999999999999999E-2</c:v>
                </c:pt>
                <c:pt idx="37">
                  <c:v>1.2999999999999999E-2</c:v>
                </c:pt>
                <c:pt idx="38">
                  <c:v>1.2999999999999999E-2</c:v>
                </c:pt>
                <c:pt idx="39">
                  <c:v>1.3100000000000001E-2</c:v>
                </c:pt>
                <c:pt idx="40">
                  <c:v>0</c:v>
                </c:pt>
                <c:pt idx="41">
                  <c:v>1.3299999999999999E-2</c:v>
                </c:pt>
                <c:pt idx="42">
                  <c:v>1.3299999999999999E-2</c:v>
                </c:pt>
                <c:pt idx="43">
                  <c:v>1.34E-2</c:v>
                </c:pt>
                <c:pt idx="44">
                  <c:v>1.34E-2</c:v>
                </c:pt>
                <c:pt idx="45">
                  <c:v>1.35E-2</c:v>
                </c:pt>
                <c:pt idx="46">
                  <c:v>1.35E-2</c:v>
                </c:pt>
                <c:pt idx="47">
                  <c:v>1.37E-2</c:v>
                </c:pt>
                <c:pt idx="48">
                  <c:v>0</c:v>
                </c:pt>
                <c:pt idx="49">
                  <c:v>1.37E-2</c:v>
                </c:pt>
                <c:pt idx="50">
                  <c:v>0</c:v>
                </c:pt>
                <c:pt idx="51">
                  <c:v>1.37E-2</c:v>
                </c:pt>
                <c:pt idx="52">
                  <c:v>0</c:v>
                </c:pt>
                <c:pt idx="53">
                  <c:v>1.38E-2</c:v>
                </c:pt>
                <c:pt idx="54">
                  <c:v>0</c:v>
                </c:pt>
                <c:pt idx="55">
                  <c:v>1.38E-2</c:v>
                </c:pt>
                <c:pt idx="56">
                  <c:v>1.38E-2</c:v>
                </c:pt>
                <c:pt idx="57">
                  <c:v>1.3899999999999999E-2</c:v>
                </c:pt>
                <c:pt idx="58">
                  <c:v>1.3899999999999999E-2</c:v>
                </c:pt>
                <c:pt idx="59">
                  <c:v>1.4E-2</c:v>
                </c:pt>
                <c:pt idx="60">
                  <c:v>1.4E-2</c:v>
                </c:pt>
                <c:pt idx="61">
                  <c:v>0</c:v>
                </c:pt>
                <c:pt idx="62">
                  <c:v>1.41E-2</c:v>
                </c:pt>
                <c:pt idx="63">
                  <c:v>0</c:v>
                </c:pt>
                <c:pt idx="64">
                  <c:v>1.41E-2</c:v>
                </c:pt>
                <c:pt idx="65">
                  <c:v>1.41E-2</c:v>
                </c:pt>
                <c:pt idx="66">
                  <c:v>1.4200000000000001E-2</c:v>
                </c:pt>
                <c:pt idx="67">
                  <c:v>1.43E-2</c:v>
                </c:pt>
                <c:pt idx="68">
                  <c:v>0</c:v>
                </c:pt>
                <c:pt idx="69">
                  <c:v>1.43E-2</c:v>
                </c:pt>
                <c:pt idx="70">
                  <c:v>1.43E-2</c:v>
                </c:pt>
                <c:pt idx="71">
                  <c:v>1.44E-2</c:v>
                </c:pt>
                <c:pt idx="72">
                  <c:v>1.4500000000000001E-2</c:v>
                </c:pt>
                <c:pt idx="73">
                  <c:v>1.4500000000000001E-2</c:v>
                </c:pt>
                <c:pt idx="74">
                  <c:v>1.4500000000000001E-2</c:v>
                </c:pt>
                <c:pt idx="75">
                  <c:v>1.4500000000000001E-2</c:v>
                </c:pt>
                <c:pt idx="76">
                  <c:v>0</c:v>
                </c:pt>
                <c:pt idx="77">
                  <c:v>1.47E-2</c:v>
                </c:pt>
                <c:pt idx="78">
                  <c:v>1.47E-2</c:v>
                </c:pt>
                <c:pt idx="79">
                  <c:v>1.47E-2</c:v>
                </c:pt>
                <c:pt idx="80">
                  <c:v>1.47E-2</c:v>
                </c:pt>
                <c:pt idx="81">
                  <c:v>1.47E-2</c:v>
                </c:pt>
                <c:pt idx="82">
                  <c:v>1.47E-2</c:v>
                </c:pt>
                <c:pt idx="83">
                  <c:v>0</c:v>
                </c:pt>
                <c:pt idx="84">
                  <c:v>1.49E-2</c:v>
                </c:pt>
                <c:pt idx="85">
                  <c:v>0</c:v>
                </c:pt>
                <c:pt idx="86">
                  <c:v>1.49E-2</c:v>
                </c:pt>
                <c:pt idx="87">
                  <c:v>0</c:v>
                </c:pt>
                <c:pt idx="88">
                  <c:v>1.49E-2</c:v>
                </c:pt>
                <c:pt idx="89">
                  <c:v>1.4999999999999999E-2</c:v>
                </c:pt>
                <c:pt idx="90">
                  <c:v>0</c:v>
                </c:pt>
                <c:pt idx="91">
                  <c:v>0</c:v>
                </c:pt>
                <c:pt idx="92">
                  <c:v>0</c:v>
                </c:pt>
                <c:pt idx="93">
                  <c:v>0</c:v>
                </c:pt>
                <c:pt idx="94">
                  <c:v>0</c:v>
                </c:pt>
                <c:pt idx="95">
                  <c:v>1.52E-2</c:v>
                </c:pt>
                <c:pt idx="96">
                  <c:v>1.52E-2</c:v>
                </c:pt>
                <c:pt idx="97">
                  <c:v>1.52E-2</c:v>
                </c:pt>
                <c:pt idx="98">
                  <c:v>1.5299999999999999E-2</c:v>
                </c:pt>
                <c:pt idx="99">
                  <c:v>0</c:v>
                </c:pt>
                <c:pt idx="100">
                  <c:v>0</c:v>
                </c:pt>
                <c:pt idx="101">
                  <c:v>1.5299999999999999E-2</c:v>
                </c:pt>
                <c:pt idx="102">
                  <c:v>1.5299999999999999E-2</c:v>
                </c:pt>
                <c:pt idx="103">
                  <c:v>0</c:v>
                </c:pt>
                <c:pt idx="104">
                  <c:v>1.54E-2</c:v>
                </c:pt>
                <c:pt idx="105">
                  <c:v>0</c:v>
                </c:pt>
                <c:pt idx="106">
                  <c:v>1.54E-2</c:v>
                </c:pt>
                <c:pt idx="107">
                  <c:v>0</c:v>
                </c:pt>
                <c:pt idx="108">
                  <c:v>1.55E-2</c:v>
                </c:pt>
                <c:pt idx="109">
                  <c:v>1.55E-2</c:v>
                </c:pt>
                <c:pt idx="110">
                  <c:v>1.55E-2</c:v>
                </c:pt>
                <c:pt idx="111">
                  <c:v>1.5599999999999999E-2</c:v>
                </c:pt>
                <c:pt idx="112">
                  <c:v>1.5599999999999999E-2</c:v>
                </c:pt>
                <c:pt idx="113">
                  <c:v>1.5599999999999999E-2</c:v>
                </c:pt>
                <c:pt idx="114">
                  <c:v>1.5599999999999999E-2</c:v>
                </c:pt>
                <c:pt idx="115">
                  <c:v>0</c:v>
                </c:pt>
                <c:pt idx="116">
                  <c:v>1.5599999999999999E-2</c:v>
                </c:pt>
                <c:pt idx="117">
                  <c:v>1.5599999999999999E-2</c:v>
                </c:pt>
                <c:pt idx="118">
                  <c:v>1.5699999999999999E-2</c:v>
                </c:pt>
                <c:pt idx="119">
                  <c:v>1.5699999999999999E-2</c:v>
                </c:pt>
                <c:pt idx="120">
                  <c:v>1.5699999999999999E-2</c:v>
                </c:pt>
                <c:pt idx="121">
                  <c:v>1.5699999999999999E-2</c:v>
                </c:pt>
                <c:pt idx="122">
                  <c:v>1.5699999999999999E-2</c:v>
                </c:pt>
                <c:pt idx="123">
                  <c:v>1.5699999999999999E-2</c:v>
                </c:pt>
                <c:pt idx="124">
                  <c:v>1.5800000000000002E-2</c:v>
                </c:pt>
                <c:pt idx="125">
                  <c:v>0</c:v>
                </c:pt>
                <c:pt idx="126">
                  <c:v>1.5900000000000001E-2</c:v>
                </c:pt>
                <c:pt idx="127">
                  <c:v>1.5900000000000001E-2</c:v>
                </c:pt>
                <c:pt idx="128">
                  <c:v>1.5900000000000001E-2</c:v>
                </c:pt>
                <c:pt idx="129">
                  <c:v>1.5900000000000001E-2</c:v>
                </c:pt>
                <c:pt idx="130">
                  <c:v>1.5900000000000001E-2</c:v>
                </c:pt>
                <c:pt idx="131">
                  <c:v>1.6E-2</c:v>
                </c:pt>
                <c:pt idx="132">
                  <c:v>0</c:v>
                </c:pt>
                <c:pt idx="133">
                  <c:v>1.6E-2</c:v>
                </c:pt>
                <c:pt idx="134">
                  <c:v>1.6E-2</c:v>
                </c:pt>
                <c:pt idx="135">
                  <c:v>1.6E-2</c:v>
                </c:pt>
                <c:pt idx="136">
                  <c:v>1.6E-2</c:v>
                </c:pt>
                <c:pt idx="137">
                  <c:v>1.6199999999999999E-2</c:v>
                </c:pt>
                <c:pt idx="138">
                  <c:v>1.6199999999999999E-2</c:v>
                </c:pt>
                <c:pt idx="139">
                  <c:v>1.6199999999999999E-2</c:v>
                </c:pt>
                <c:pt idx="140">
                  <c:v>1.6299999999999999E-2</c:v>
                </c:pt>
                <c:pt idx="141">
                  <c:v>1.6299999999999999E-2</c:v>
                </c:pt>
                <c:pt idx="142">
                  <c:v>1.6299999999999999E-2</c:v>
                </c:pt>
                <c:pt idx="143">
                  <c:v>0</c:v>
                </c:pt>
                <c:pt idx="144">
                  <c:v>0</c:v>
                </c:pt>
                <c:pt idx="145">
                  <c:v>1.6400000000000001E-2</c:v>
                </c:pt>
                <c:pt idx="146">
                  <c:v>1.6400000000000001E-2</c:v>
                </c:pt>
                <c:pt idx="147">
                  <c:v>1.6400000000000001E-2</c:v>
                </c:pt>
                <c:pt idx="148">
                  <c:v>1.6400000000000001E-2</c:v>
                </c:pt>
                <c:pt idx="149">
                  <c:v>1.6400000000000001E-2</c:v>
                </c:pt>
                <c:pt idx="150">
                  <c:v>1.6500000000000001E-2</c:v>
                </c:pt>
                <c:pt idx="151">
                  <c:v>1.6500000000000001E-2</c:v>
                </c:pt>
                <c:pt idx="152">
                  <c:v>1.66E-2</c:v>
                </c:pt>
                <c:pt idx="153">
                  <c:v>1.66E-2</c:v>
                </c:pt>
                <c:pt idx="154">
                  <c:v>1.67E-2</c:v>
                </c:pt>
                <c:pt idx="155">
                  <c:v>1.67E-2</c:v>
                </c:pt>
                <c:pt idx="156">
                  <c:v>1.67E-2</c:v>
                </c:pt>
                <c:pt idx="157">
                  <c:v>0</c:v>
                </c:pt>
                <c:pt idx="158">
                  <c:v>1.67E-2</c:v>
                </c:pt>
                <c:pt idx="159">
                  <c:v>1.6799999999999999E-2</c:v>
                </c:pt>
                <c:pt idx="160">
                  <c:v>1.6799999999999999E-2</c:v>
                </c:pt>
                <c:pt idx="161">
                  <c:v>1.6799999999999999E-2</c:v>
                </c:pt>
                <c:pt idx="162">
                  <c:v>1.6799999999999999E-2</c:v>
                </c:pt>
                <c:pt idx="163">
                  <c:v>1.6799999999999999E-2</c:v>
                </c:pt>
                <c:pt idx="164">
                  <c:v>1.6799999999999999E-2</c:v>
                </c:pt>
                <c:pt idx="165">
                  <c:v>1.6799999999999999E-2</c:v>
                </c:pt>
                <c:pt idx="166">
                  <c:v>1.6799999999999999E-2</c:v>
                </c:pt>
                <c:pt idx="167">
                  <c:v>1.6799999999999999E-2</c:v>
                </c:pt>
                <c:pt idx="168">
                  <c:v>1.6799999999999999E-2</c:v>
                </c:pt>
                <c:pt idx="169">
                  <c:v>1.6899999999999998E-2</c:v>
                </c:pt>
                <c:pt idx="170">
                  <c:v>1.6899999999999998E-2</c:v>
                </c:pt>
                <c:pt idx="171">
                  <c:v>1.6899999999999998E-2</c:v>
                </c:pt>
                <c:pt idx="172">
                  <c:v>1.7100000000000001E-2</c:v>
                </c:pt>
                <c:pt idx="173">
                  <c:v>1.7100000000000001E-2</c:v>
                </c:pt>
                <c:pt idx="174">
                  <c:v>1.7100000000000001E-2</c:v>
                </c:pt>
                <c:pt idx="175">
                  <c:v>1.72E-2</c:v>
                </c:pt>
                <c:pt idx="176">
                  <c:v>1.72E-2</c:v>
                </c:pt>
                <c:pt idx="177">
                  <c:v>1.7299999999999999E-2</c:v>
                </c:pt>
                <c:pt idx="178">
                  <c:v>1.7299999999999999E-2</c:v>
                </c:pt>
                <c:pt idx="179">
                  <c:v>1.7299999999999999E-2</c:v>
                </c:pt>
                <c:pt idx="180">
                  <c:v>1.7399999999999999E-2</c:v>
                </c:pt>
                <c:pt idx="181">
                  <c:v>1.7399999999999999E-2</c:v>
                </c:pt>
                <c:pt idx="182">
                  <c:v>1.7399999999999999E-2</c:v>
                </c:pt>
                <c:pt idx="183">
                  <c:v>1.7399999999999999E-2</c:v>
                </c:pt>
                <c:pt idx="184">
                  <c:v>0</c:v>
                </c:pt>
                <c:pt idx="185">
                  <c:v>1.7399999999999999E-2</c:v>
                </c:pt>
                <c:pt idx="186">
                  <c:v>1.7500000000000002E-2</c:v>
                </c:pt>
                <c:pt idx="187">
                  <c:v>1.7500000000000002E-2</c:v>
                </c:pt>
                <c:pt idx="188">
                  <c:v>0</c:v>
                </c:pt>
                <c:pt idx="189">
                  <c:v>1.7600000000000001E-2</c:v>
                </c:pt>
                <c:pt idx="190">
                  <c:v>1.7600000000000001E-2</c:v>
                </c:pt>
                <c:pt idx="191">
                  <c:v>1.7600000000000001E-2</c:v>
                </c:pt>
                <c:pt idx="192">
                  <c:v>1.7600000000000001E-2</c:v>
                </c:pt>
                <c:pt idx="193">
                  <c:v>1.7600000000000001E-2</c:v>
                </c:pt>
                <c:pt idx="194">
                  <c:v>1.7600000000000001E-2</c:v>
                </c:pt>
                <c:pt idx="195">
                  <c:v>1.7600000000000001E-2</c:v>
                </c:pt>
                <c:pt idx="196">
                  <c:v>1.77E-2</c:v>
                </c:pt>
                <c:pt idx="197">
                  <c:v>1.77E-2</c:v>
                </c:pt>
                <c:pt idx="198">
                  <c:v>1.77E-2</c:v>
                </c:pt>
                <c:pt idx="199">
                  <c:v>1.77E-2</c:v>
                </c:pt>
                <c:pt idx="200">
                  <c:v>1.77E-2</c:v>
                </c:pt>
                <c:pt idx="201">
                  <c:v>1.78E-2</c:v>
                </c:pt>
                <c:pt idx="202">
                  <c:v>1.78E-2</c:v>
                </c:pt>
                <c:pt idx="203">
                  <c:v>0</c:v>
                </c:pt>
                <c:pt idx="204">
                  <c:v>0</c:v>
                </c:pt>
                <c:pt idx="205">
                  <c:v>1.7999999999999999E-2</c:v>
                </c:pt>
                <c:pt idx="206">
                  <c:v>1.7999999999999999E-2</c:v>
                </c:pt>
                <c:pt idx="207">
                  <c:v>1.7999999999999999E-2</c:v>
                </c:pt>
                <c:pt idx="208">
                  <c:v>1.7999999999999999E-2</c:v>
                </c:pt>
                <c:pt idx="209">
                  <c:v>1.8100000000000002E-2</c:v>
                </c:pt>
                <c:pt idx="210">
                  <c:v>1.8100000000000002E-2</c:v>
                </c:pt>
                <c:pt idx="211">
                  <c:v>1.8100000000000002E-2</c:v>
                </c:pt>
                <c:pt idx="212">
                  <c:v>1.8200000000000001E-2</c:v>
                </c:pt>
                <c:pt idx="213">
                  <c:v>1.8200000000000001E-2</c:v>
                </c:pt>
                <c:pt idx="214">
                  <c:v>1.8200000000000001E-2</c:v>
                </c:pt>
                <c:pt idx="215">
                  <c:v>1.83E-2</c:v>
                </c:pt>
                <c:pt idx="216">
                  <c:v>1.83E-2</c:v>
                </c:pt>
                <c:pt idx="217">
                  <c:v>1.83E-2</c:v>
                </c:pt>
                <c:pt idx="218">
                  <c:v>1.83E-2</c:v>
                </c:pt>
                <c:pt idx="219">
                  <c:v>1.83E-2</c:v>
                </c:pt>
                <c:pt idx="220">
                  <c:v>1.83E-2</c:v>
                </c:pt>
                <c:pt idx="221">
                  <c:v>1.84E-2</c:v>
                </c:pt>
                <c:pt idx="222">
                  <c:v>1.84E-2</c:v>
                </c:pt>
                <c:pt idx="223">
                  <c:v>1.84E-2</c:v>
                </c:pt>
                <c:pt idx="224">
                  <c:v>1.84E-2</c:v>
                </c:pt>
                <c:pt idx="225">
                  <c:v>1.8499999999999999E-2</c:v>
                </c:pt>
                <c:pt idx="226">
                  <c:v>1.8499999999999999E-2</c:v>
                </c:pt>
                <c:pt idx="227">
                  <c:v>1.8599999999999998E-2</c:v>
                </c:pt>
                <c:pt idx="228">
                  <c:v>1.8599999999999998E-2</c:v>
                </c:pt>
                <c:pt idx="229">
                  <c:v>1.8599999999999998E-2</c:v>
                </c:pt>
                <c:pt idx="230">
                  <c:v>1.8599999999999998E-2</c:v>
                </c:pt>
                <c:pt idx="231">
                  <c:v>1.8700000000000001E-2</c:v>
                </c:pt>
                <c:pt idx="232">
                  <c:v>1.8700000000000001E-2</c:v>
                </c:pt>
                <c:pt idx="233">
                  <c:v>1.8700000000000001E-2</c:v>
                </c:pt>
                <c:pt idx="234">
                  <c:v>1.8700000000000001E-2</c:v>
                </c:pt>
                <c:pt idx="235">
                  <c:v>1.8700000000000001E-2</c:v>
                </c:pt>
                <c:pt idx="236">
                  <c:v>1.8700000000000001E-2</c:v>
                </c:pt>
                <c:pt idx="237">
                  <c:v>1.8700000000000001E-2</c:v>
                </c:pt>
                <c:pt idx="238">
                  <c:v>1.8800000000000001E-2</c:v>
                </c:pt>
                <c:pt idx="239">
                  <c:v>1.8800000000000001E-2</c:v>
                </c:pt>
                <c:pt idx="240">
                  <c:v>1.8800000000000001E-2</c:v>
                </c:pt>
                <c:pt idx="241">
                  <c:v>1.8800000000000001E-2</c:v>
                </c:pt>
                <c:pt idx="242">
                  <c:v>1.89E-2</c:v>
                </c:pt>
                <c:pt idx="243">
                  <c:v>1.89E-2</c:v>
                </c:pt>
                <c:pt idx="244">
                  <c:v>1.89E-2</c:v>
                </c:pt>
                <c:pt idx="245">
                  <c:v>1.89E-2</c:v>
                </c:pt>
                <c:pt idx="246">
                  <c:v>0</c:v>
                </c:pt>
                <c:pt idx="247">
                  <c:v>1.9E-2</c:v>
                </c:pt>
                <c:pt idx="248">
                  <c:v>1.9E-2</c:v>
                </c:pt>
                <c:pt idx="249">
                  <c:v>1.9E-2</c:v>
                </c:pt>
                <c:pt idx="250">
                  <c:v>1.9099999999999999E-2</c:v>
                </c:pt>
                <c:pt idx="251">
                  <c:v>1.9099999999999999E-2</c:v>
                </c:pt>
                <c:pt idx="252">
                  <c:v>1.9099999999999999E-2</c:v>
                </c:pt>
                <c:pt idx="253">
                  <c:v>1.9199999999999998E-2</c:v>
                </c:pt>
                <c:pt idx="254">
                  <c:v>1.9199999999999998E-2</c:v>
                </c:pt>
                <c:pt idx="255">
                  <c:v>1.9300000000000001E-2</c:v>
                </c:pt>
                <c:pt idx="256">
                  <c:v>1.9300000000000001E-2</c:v>
                </c:pt>
                <c:pt idx="257">
                  <c:v>1.9300000000000001E-2</c:v>
                </c:pt>
                <c:pt idx="258">
                  <c:v>1.9300000000000001E-2</c:v>
                </c:pt>
                <c:pt idx="259">
                  <c:v>1.9300000000000001E-2</c:v>
                </c:pt>
                <c:pt idx="260">
                  <c:v>1.9400000000000001E-2</c:v>
                </c:pt>
                <c:pt idx="261">
                  <c:v>1.9400000000000001E-2</c:v>
                </c:pt>
                <c:pt idx="262">
                  <c:v>1.9400000000000001E-2</c:v>
                </c:pt>
                <c:pt idx="263">
                  <c:v>1.9400000000000001E-2</c:v>
                </c:pt>
                <c:pt idx="264">
                  <c:v>1.95E-2</c:v>
                </c:pt>
                <c:pt idx="265">
                  <c:v>1.95E-2</c:v>
                </c:pt>
                <c:pt idx="266">
                  <c:v>1.95E-2</c:v>
                </c:pt>
                <c:pt idx="267">
                  <c:v>1.95E-2</c:v>
                </c:pt>
                <c:pt idx="268">
                  <c:v>1.9599999999999999E-2</c:v>
                </c:pt>
                <c:pt idx="269">
                  <c:v>1.9599999999999999E-2</c:v>
                </c:pt>
                <c:pt idx="270">
                  <c:v>1.9699999999999999E-2</c:v>
                </c:pt>
                <c:pt idx="271">
                  <c:v>1.9699999999999999E-2</c:v>
                </c:pt>
                <c:pt idx="272">
                  <c:v>1.9699999999999999E-2</c:v>
                </c:pt>
                <c:pt idx="273">
                  <c:v>1.9699999999999999E-2</c:v>
                </c:pt>
                <c:pt idx="274">
                  <c:v>1.9699999999999999E-2</c:v>
                </c:pt>
                <c:pt idx="275">
                  <c:v>1.9699999999999999E-2</c:v>
                </c:pt>
                <c:pt idx="276">
                  <c:v>1.9699999999999999E-2</c:v>
                </c:pt>
                <c:pt idx="277">
                  <c:v>1.9800000000000002E-2</c:v>
                </c:pt>
                <c:pt idx="278">
                  <c:v>1.9800000000000002E-2</c:v>
                </c:pt>
                <c:pt idx="279">
                  <c:v>1.9900000000000001E-2</c:v>
                </c:pt>
                <c:pt idx="280">
                  <c:v>0.02</c:v>
                </c:pt>
                <c:pt idx="281">
                  <c:v>0.02</c:v>
                </c:pt>
                <c:pt idx="282">
                  <c:v>0.02</c:v>
                </c:pt>
                <c:pt idx="283">
                  <c:v>2.01E-2</c:v>
                </c:pt>
                <c:pt idx="284">
                  <c:v>2.01E-2</c:v>
                </c:pt>
                <c:pt idx="285">
                  <c:v>2.0199999999999999E-2</c:v>
                </c:pt>
                <c:pt idx="286">
                  <c:v>2.0199999999999999E-2</c:v>
                </c:pt>
                <c:pt idx="287">
                  <c:v>2.0299999999999999E-2</c:v>
                </c:pt>
                <c:pt idx="288">
                  <c:v>2.0299999999999999E-2</c:v>
                </c:pt>
                <c:pt idx="289">
                  <c:v>0</c:v>
                </c:pt>
                <c:pt idx="290">
                  <c:v>2.0299999999999999E-2</c:v>
                </c:pt>
                <c:pt idx="291">
                  <c:v>2.0299999999999999E-2</c:v>
                </c:pt>
                <c:pt idx="292">
                  <c:v>2.0299999999999999E-2</c:v>
                </c:pt>
                <c:pt idx="293">
                  <c:v>2.0299999999999999E-2</c:v>
                </c:pt>
                <c:pt idx="294">
                  <c:v>2.0400000000000001E-2</c:v>
                </c:pt>
                <c:pt idx="295">
                  <c:v>2.0400000000000001E-2</c:v>
                </c:pt>
                <c:pt idx="296">
                  <c:v>2.0400000000000001E-2</c:v>
                </c:pt>
                <c:pt idx="297">
                  <c:v>2.0400000000000001E-2</c:v>
                </c:pt>
                <c:pt idx="298">
                  <c:v>2.0500000000000001E-2</c:v>
                </c:pt>
                <c:pt idx="299">
                  <c:v>2.0500000000000001E-2</c:v>
                </c:pt>
                <c:pt idx="300">
                  <c:v>2.0500000000000001E-2</c:v>
                </c:pt>
                <c:pt idx="301">
                  <c:v>2.0500000000000001E-2</c:v>
                </c:pt>
                <c:pt idx="302">
                  <c:v>2.0500000000000001E-2</c:v>
                </c:pt>
                <c:pt idx="303">
                  <c:v>2.0500000000000001E-2</c:v>
                </c:pt>
                <c:pt idx="304">
                  <c:v>2.0500000000000001E-2</c:v>
                </c:pt>
                <c:pt idx="305">
                  <c:v>2.06E-2</c:v>
                </c:pt>
                <c:pt idx="306">
                  <c:v>2.06E-2</c:v>
                </c:pt>
                <c:pt idx="307">
                  <c:v>2.06E-2</c:v>
                </c:pt>
                <c:pt idx="308">
                  <c:v>0</c:v>
                </c:pt>
                <c:pt idx="309">
                  <c:v>2.06E-2</c:v>
                </c:pt>
                <c:pt idx="310">
                  <c:v>2.0899999999999998E-2</c:v>
                </c:pt>
                <c:pt idx="311">
                  <c:v>2.0899999999999998E-2</c:v>
                </c:pt>
                <c:pt idx="312">
                  <c:v>2.0899999999999998E-2</c:v>
                </c:pt>
                <c:pt idx="313">
                  <c:v>2.0899999999999998E-2</c:v>
                </c:pt>
                <c:pt idx="314">
                  <c:v>2.0899999999999998E-2</c:v>
                </c:pt>
                <c:pt idx="315">
                  <c:v>2.0899999999999998E-2</c:v>
                </c:pt>
                <c:pt idx="316">
                  <c:v>2.0899999999999998E-2</c:v>
                </c:pt>
                <c:pt idx="317">
                  <c:v>2.1000000000000001E-2</c:v>
                </c:pt>
                <c:pt idx="318">
                  <c:v>2.1000000000000001E-2</c:v>
                </c:pt>
                <c:pt idx="319">
                  <c:v>2.1000000000000001E-2</c:v>
                </c:pt>
                <c:pt idx="320">
                  <c:v>2.1000000000000001E-2</c:v>
                </c:pt>
                <c:pt idx="321">
                  <c:v>2.1000000000000001E-2</c:v>
                </c:pt>
                <c:pt idx="322">
                  <c:v>2.1100000000000001E-2</c:v>
                </c:pt>
                <c:pt idx="323">
                  <c:v>2.1100000000000001E-2</c:v>
                </c:pt>
                <c:pt idx="324">
                  <c:v>2.12E-2</c:v>
                </c:pt>
                <c:pt idx="325">
                  <c:v>2.12E-2</c:v>
                </c:pt>
                <c:pt idx="326">
                  <c:v>2.1299999999999999E-2</c:v>
                </c:pt>
                <c:pt idx="327">
                  <c:v>2.1299999999999999E-2</c:v>
                </c:pt>
                <c:pt idx="328">
                  <c:v>2.1299999999999999E-2</c:v>
                </c:pt>
                <c:pt idx="329">
                  <c:v>2.1299999999999999E-2</c:v>
                </c:pt>
                <c:pt idx="330">
                  <c:v>2.1299999999999999E-2</c:v>
                </c:pt>
                <c:pt idx="331">
                  <c:v>2.1399999999999999E-2</c:v>
                </c:pt>
                <c:pt idx="332">
                  <c:v>2.1399999999999999E-2</c:v>
                </c:pt>
                <c:pt idx="333">
                  <c:v>2.1499999999999998E-2</c:v>
                </c:pt>
                <c:pt idx="334">
                  <c:v>2.1499999999999998E-2</c:v>
                </c:pt>
                <c:pt idx="335">
                  <c:v>2.1700000000000001E-2</c:v>
                </c:pt>
                <c:pt idx="336">
                  <c:v>2.1700000000000001E-2</c:v>
                </c:pt>
                <c:pt idx="337">
                  <c:v>2.18E-2</c:v>
                </c:pt>
                <c:pt idx="338">
                  <c:v>2.18E-2</c:v>
                </c:pt>
                <c:pt idx="339">
                  <c:v>2.1899999999999999E-2</c:v>
                </c:pt>
                <c:pt idx="340">
                  <c:v>2.1899999999999999E-2</c:v>
                </c:pt>
                <c:pt idx="341">
                  <c:v>2.1899999999999999E-2</c:v>
                </c:pt>
                <c:pt idx="342">
                  <c:v>2.1999999999999999E-2</c:v>
                </c:pt>
                <c:pt idx="343">
                  <c:v>2.1999999999999999E-2</c:v>
                </c:pt>
                <c:pt idx="344">
                  <c:v>2.2100000000000002E-2</c:v>
                </c:pt>
                <c:pt idx="345">
                  <c:v>2.2100000000000002E-2</c:v>
                </c:pt>
                <c:pt idx="346">
                  <c:v>2.2100000000000002E-2</c:v>
                </c:pt>
                <c:pt idx="347">
                  <c:v>2.2100000000000002E-2</c:v>
                </c:pt>
                <c:pt idx="348">
                  <c:v>2.2200000000000001E-2</c:v>
                </c:pt>
                <c:pt idx="349">
                  <c:v>2.2200000000000001E-2</c:v>
                </c:pt>
                <c:pt idx="350">
                  <c:v>2.2200000000000001E-2</c:v>
                </c:pt>
                <c:pt idx="351">
                  <c:v>2.2200000000000001E-2</c:v>
                </c:pt>
                <c:pt idx="352">
                  <c:v>2.23E-2</c:v>
                </c:pt>
                <c:pt idx="353">
                  <c:v>2.24E-2</c:v>
                </c:pt>
                <c:pt idx="354">
                  <c:v>2.24E-2</c:v>
                </c:pt>
                <c:pt idx="355">
                  <c:v>2.2499999999999999E-2</c:v>
                </c:pt>
                <c:pt idx="356">
                  <c:v>2.2599999999999999E-2</c:v>
                </c:pt>
                <c:pt idx="357">
                  <c:v>2.2700000000000001E-2</c:v>
                </c:pt>
                <c:pt idx="358">
                  <c:v>2.2700000000000001E-2</c:v>
                </c:pt>
                <c:pt idx="359">
                  <c:v>2.2800000000000001E-2</c:v>
                </c:pt>
                <c:pt idx="360">
                  <c:v>2.2800000000000001E-2</c:v>
                </c:pt>
                <c:pt idx="361">
                  <c:v>2.29E-2</c:v>
                </c:pt>
                <c:pt idx="362">
                  <c:v>2.29E-2</c:v>
                </c:pt>
                <c:pt idx="363">
                  <c:v>2.29E-2</c:v>
                </c:pt>
                <c:pt idx="364">
                  <c:v>2.29E-2</c:v>
                </c:pt>
                <c:pt idx="365">
                  <c:v>2.3E-2</c:v>
                </c:pt>
                <c:pt idx="366">
                  <c:v>2.3199999999999998E-2</c:v>
                </c:pt>
                <c:pt idx="367">
                  <c:v>2.3199999999999998E-2</c:v>
                </c:pt>
                <c:pt idx="368">
                  <c:v>2.3300000000000001E-2</c:v>
                </c:pt>
                <c:pt idx="369">
                  <c:v>2.35E-2</c:v>
                </c:pt>
                <c:pt idx="370">
                  <c:v>2.3699999999999999E-2</c:v>
                </c:pt>
                <c:pt idx="371">
                  <c:v>2.3699999999999999E-2</c:v>
                </c:pt>
                <c:pt idx="372">
                  <c:v>2.3800000000000002E-2</c:v>
                </c:pt>
                <c:pt idx="373">
                  <c:v>2.3800000000000002E-2</c:v>
                </c:pt>
                <c:pt idx="374">
                  <c:v>2.41E-2</c:v>
                </c:pt>
                <c:pt idx="375">
                  <c:v>2.41E-2</c:v>
                </c:pt>
                <c:pt idx="376">
                  <c:v>2.4299999999999999E-2</c:v>
                </c:pt>
                <c:pt idx="377">
                  <c:v>2.4299999999999999E-2</c:v>
                </c:pt>
                <c:pt idx="378">
                  <c:v>2.4400000000000002E-2</c:v>
                </c:pt>
                <c:pt idx="379">
                  <c:v>2.4899999999999999E-2</c:v>
                </c:pt>
                <c:pt idx="380">
                  <c:v>2.52E-2</c:v>
                </c:pt>
                <c:pt idx="381">
                  <c:v>2.52E-2</c:v>
                </c:pt>
                <c:pt idx="382">
                  <c:v>2.53E-2</c:v>
                </c:pt>
              </c:numCache>
            </c:numRef>
          </c:val>
        </c:ser>
        <c:ser>
          <c:idx val="1"/>
          <c:order val="1"/>
          <c:tx>
            <c:strRef>
              <c:f>Sheet1!$E$9</c:f>
              <c:strCache>
                <c:ptCount val="1"/>
                <c:pt idx="0">
                  <c:v>sigoma</c:v>
                </c:pt>
              </c:strCache>
            </c:strRef>
          </c:tx>
          <c:spPr>
            <a:solidFill>
              <a:srgbClr val="FF0000"/>
            </a:solidFill>
          </c:spPr>
          <c:invertIfNegative val="0"/>
          <c:val>
            <c:numRef>
              <c:f>Sheet1!$E$10:$E$392</c:f>
              <c:numCache>
                <c:formatCode>0.00%</c:formatCode>
                <c:ptCount val="383"/>
                <c:pt idx="0">
                  <c:v>0</c:v>
                </c:pt>
                <c:pt idx="1">
                  <c:v>0</c:v>
                </c:pt>
                <c:pt idx="2">
                  <c:v>0</c:v>
                </c:pt>
                <c:pt idx="3">
                  <c:v>0</c:v>
                </c:pt>
                <c:pt idx="4">
                  <c:v>0</c:v>
                </c:pt>
                <c:pt idx="5">
                  <c:v>0</c:v>
                </c:pt>
                <c:pt idx="6">
                  <c:v>0</c:v>
                </c:pt>
                <c:pt idx="7">
                  <c:v>0</c:v>
                </c:pt>
                <c:pt idx="8">
                  <c:v>1.01E-2</c:v>
                </c:pt>
                <c:pt idx="9">
                  <c:v>1.04E-2</c:v>
                </c:pt>
                <c:pt idx="10">
                  <c:v>0</c:v>
                </c:pt>
                <c:pt idx="11">
                  <c:v>0</c:v>
                </c:pt>
                <c:pt idx="12">
                  <c:v>0</c:v>
                </c:pt>
                <c:pt idx="13">
                  <c:v>1.11E-2</c:v>
                </c:pt>
                <c:pt idx="14">
                  <c:v>1.12E-2</c:v>
                </c:pt>
                <c:pt idx="15">
                  <c:v>0</c:v>
                </c:pt>
                <c:pt idx="16">
                  <c:v>1.14E-2</c:v>
                </c:pt>
                <c:pt idx="17">
                  <c:v>0</c:v>
                </c:pt>
                <c:pt idx="18">
                  <c:v>0</c:v>
                </c:pt>
                <c:pt idx="19">
                  <c:v>0</c:v>
                </c:pt>
                <c:pt idx="20">
                  <c:v>0</c:v>
                </c:pt>
                <c:pt idx="21">
                  <c:v>0</c:v>
                </c:pt>
                <c:pt idx="22">
                  <c:v>0</c:v>
                </c:pt>
                <c:pt idx="23">
                  <c:v>1.21E-2</c:v>
                </c:pt>
                <c:pt idx="24">
                  <c:v>1.2200000000000001E-2</c:v>
                </c:pt>
                <c:pt idx="25">
                  <c:v>1.2200000000000001E-2</c:v>
                </c:pt>
                <c:pt idx="26">
                  <c:v>0</c:v>
                </c:pt>
                <c:pt idx="27">
                  <c:v>1.2500000000000001E-2</c:v>
                </c:pt>
                <c:pt idx="28">
                  <c:v>1.2500000000000001E-2</c:v>
                </c:pt>
                <c:pt idx="29">
                  <c:v>1.2500000000000001E-2</c:v>
                </c:pt>
                <c:pt idx="30">
                  <c:v>0</c:v>
                </c:pt>
                <c:pt idx="31">
                  <c:v>0</c:v>
                </c:pt>
                <c:pt idx="32">
                  <c:v>0</c:v>
                </c:pt>
                <c:pt idx="33">
                  <c:v>0</c:v>
                </c:pt>
                <c:pt idx="34">
                  <c:v>0</c:v>
                </c:pt>
                <c:pt idx="35">
                  <c:v>1.2800000000000001E-2</c:v>
                </c:pt>
                <c:pt idx="36">
                  <c:v>0</c:v>
                </c:pt>
                <c:pt idx="37">
                  <c:v>0</c:v>
                </c:pt>
                <c:pt idx="38">
                  <c:v>0</c:v>
                </c:pt>
                <c:pt idx="39">
                  <c:v>0</c:v>
                </c:pt>
                <c:pt idx="40">
                  <c:v>1.32E-2</c:v>
                </c:pt>
                <c:pt idx="41">
                  <c:v>0</c:v>
                </c:pt>
                <c:pt idx="42">
                  <c:v>0</c:v>
                </c:pt>
                <c:pt idx="43">
                  <c:v>0</c:v>
                </c:pt>
                <c:pt idx="44">
                  <c:v>0</c:v>
                </c:pt>
                <c:pt idx="45">
                  <c:v>0</c:v>
                </c:pt>
                <c:pt idx="46">
                  <c:v>0</c:v>
                </c:pt>
                <c:pt idx="47">
                  <c:v>0</c:v>
                </c:pt>
                <c:pt idx="48">
                  <c:v>1.37E-2</c:v>
                </c:pt>
                <c:pt idx="49">
                  <c:v>0</c:v>
                </c:pt>
                <c:pt idx="50">
                  <c:v>1.37E-2</c:v>
                </c:pt>
                <c:pt idx="51">
                  <c:v>0</c:v>
                </c:pt>
                <c:pt idx="52">
                  <c:v>1.38E-2</c:v>
                </c:pt>
                <c:pt idx="53">
                  <c:v>0</c:v>
                </c:pt>
                <c:pt idx="54">
                  <c:v>1.38E-2</c:v>
                </c:pt>
                <c:pt idx="55">
                  <c:v>0</c:v>
                </c:pt>
                <c:pt idx="56">
                  <c:v>0</c:v>
                </c:pt>
                <c:pt idx="57">
                  <c:v>0</c:v>
                </c:pt>
                <c:pt idx="58">
                  <c:v>0</c:v>
                </c:pt>
                <c:pt idx="59">
                  <c:v>0</c:v>
                </c:pt>
                <c:pt idx="60">
                  <c:v>0</c:v>
                </c:pt>
                <c:pt idx="61">
                  <c:v>1.41E-2</c:v>
                </c:pt>
                <c:pt idx="62">
                  <c:v>0</c:v>
                </c:pt>
                <c:pt idx="63">
                  <c:v>1.41E-2</c:v>
                </c:pt>
                <c:pt idx="64">
                  <c:v>0</c:v>
                </c:pt>
                <c:pt idx="65">
                  <c:v>0</c:v>
                </c:pt>
                <c:pt idx="66">
                  <c:v>0</c:v>
                </c:pt>
                <c:pt idx="67">
                  <c:v>0</c:v>
                </c:pt>
                <c:pt idx="68">
                  <c:v>1.43E-2</c:v>
                </c:pt>
                <c:pt idx="69">
                  <c:v>0</c:v>
                </c:pt>
                <c:pt idx="70">
                  <c:v>0</c:v>
                </c:pt>
                <c:pt idx="71">
                  <c:v>0</c:v>
                </c:pt>
                <c:pt idx="72">
                  <c:v>0</c:v>
                </c:pt>
                <c:pt idx="73">
                  <c:v>0</c:v>
                </c:pt>
                <c:pt idx="74">
                  <c:v>0</c:v>
                </c:pt>
                <c:pt idx="75">
                  <c:v>0</c:v>
                </c:pt>
                <c:pt idx="76">
                  <c:v>1.47E-2</c:v>
                </c:pt>
                <c:pt idx="77">
                  <c:v>0</c:v>
                </c:pt>
                <c:pt idx="78">
                  <c:v>0</c:v>
                </c:pt>
                <c:pt idx="79">
                  <c:v>0</c:v>
                </c:pt>
                <c:pt idx="80">
                  <c:v>0</c:v>
                </c:pt>
                <c:pt idx="81">
                  <c:v>0</c:v>
                </c:pt>
                <c:pt idx="82">
                  <c:v>0</c:v>
                </c:pt>
                <c:pt idx="83">
                  <c:v>1.4800000000000001E-2</c:v>
                </c:pt>
                <c:pt idx="84">
                  <c:v>0</c:v>
                </c:pt>
                <c:pt idx="85">
                  <c:v>1.49E-2</c:v>
                </c:pt>
                <c:pt idx="86">
                  <c:v>0</c:v>
                </c:pt>
                <c:pt idx="87">
                  <c:v>1.49E-2</c:v>
                </c:pt>
                <c:pt idx="88">
                  <c:v>0</c:v>
                </c:pt>
                <c:pt idx="89">
                  <c:v>0</c:v>
                </c:pt>
                <c:pt idx="90">
                  <c:v>1.4999999999999999E-2</c:v>
                </c:pt>
                <c:pt idx="91">
                  <c:v>1.4999999999999999E-2</c:v>
                </c:pt>
                <c:pt idx="92">
                  <c:v>1.4999999999999999E-2</c:v>
                </c:pt>
                <c:pt idx="93">
                  <c:v>1.5100000000000001E-2</c:v>
                </c:pt>
                <c:pt idx="94">
                  <c:v>1.5100000000000001E-2</c:v>
                </c:pt>
                <c:pt idx="95">
                  <c:v>0</c:v>
                </c:pt>
                <c:pt idx="96">
                  <c:v>0</c:v>
                </c:pt>
                <c:pt idx="97">
                  <c:v>0</c:v>
                </c:pt>
                <c:pt idx="98">
                  <c:v>0</c:v>
                </c:pt>
                <c:pt idx="99">
                  <c:v>1.5299999999999999E-2</c:v>
                </c:pt>
                <c:pt idx="100">
                  <c:v>1.5299999999999999E-2</c:v>
                </c:pt>
                <c:pt idx="101">
                  <c:v>0</c:v>
                </c:pt>
                <c:pt idx="102">
                  <c:v>0</c:v>
                </c:pt>
                <c:pt idx="103">
                  <c:v>1.54E-2</c:v>
                </c:pt>
                <c:pt idx="104">
                  <c:v>0</c:v>
                </c:pt>
                <c:pt idx="105">
                  <c:v>1.54E-2</c:v>
                </c:pt>
                <c:pt idx="106">
                  <c:v>0</c:v>
                </c:pt>
                <c:pt idx="107">
                  <c:v>1.54E-2</c:v>
                </c:pt>
                <c:pt idx="108">
                  <c:v>0</c:v>
                </c:pt>
                <c:pt idx="109">
                  <c:v>0</c:v>
                </c:pt>
                <c:pt idx="110">
                  <c:v>0</c:v>
                </c:pt>
                <c:pt idx="111">
                  <c:v>0</c:v>
                </c:pt>
                <c:pt idx="112">
                  <c:v>0</c:v>
                </c:pt>
                <c:pt idx="113">
                  <c:v>0</c:v>
                </c:pt>
                <c:pt idx="114">
                  <c:v>0</c:v>
                </c:pt>
                <c:pt idx="115">
                  <c:v>1.5599999999999999E-2</c:v>
                </c:pt>
                <c:pt idx="116">
                  <c:v>0</c:v>
                </c:pt>
                <c:pt idx="117">
                  <c:v>0</c:v>
                </c:pt>
                <c:pt idx="118">
                  <c:v>0</c:v>
                </c:pt>
                <c:pt idx="119">
                  <c:v>0</c:v>
                </c:pt>
                <c:pt idx="120">
                  <c:v>0</c:v>
                </c:pt>
                <c:pt idx="121">
                  <c:v>0</c:v>
                </c:pt>
                <c:pt idx="122">
                  <c:v>0</c:v>
                </c:pt>
                <c:pt idx="123">
                  <c:v>0</c:v>
                </c:pt>
                <c:pt idx="124">
                  <c:v>0</c:v>
                </c:pt>
                <c:pt idx="125">
                  <c:v>1.5800000000000002E-2</c:v>
                </c:pt>
                <c:pt idx="126">
                  <c:v>0</c:v>
                </c:pt>
                <c:pt idx="127">
                  <c:v>0</c:v>
                </c:pt>
                <c:pt idx="128">
                  <c:v>0</c:v>
                </c:pt>
                <c:pt idx="129">
                  <c:v>0</c:v>
                </c:pt>
                <c:pt idx="130">
                  <c:v>0</c:v>
                </c:pt>
                <c:pt idx="131">
                  <c:v>0</c:v>
                </c:pt>
                <c:pt idx="132">
                  <c:v>1.6E-2</c:v>
                </c:pt>
                <c:pt idx="133">
                  <c:v>0</c:v>
                </c:pt>
                <c:pt idx="134">
                  <c:v>0</c:v>
                </c:pt>
                <c:pt idx="135">
                  <c:v>0</c:v>
                </c:pt>
                <c:pt idx="136">
                  <c:v>0</c:v>
                </c:pt>
                <c:pt idx="137">
                  <c:v>0</c:v>
                </c:pt>
                <c:pt idx="138">
                  <c:v>0</c:v>
                </c:pt>
                <c:pt idx="139">
                  <c:v>0</c:v>
                </c:pt>
                <c:pt idx="140">
                  <c:v>0</c:v>
                </c:pt>
                <c:pt idx="141">
                  <c:v>0</c:v>
                </c:pt>
                <c:pt idx="142">
                  <c:v>0</c:v>
                </c:pt>
                <c:pt idx="143">
                  <c:v>1.6299999999999999E-2</c:v>
                </c:pt>
                <c:pt idx="144">
                  <c:v>1.6299999999999999E-2</c:v>
                </c:pt>
                <c:pt idx="145">
                  <c:v>0</c:v>
                </c:pt>
                <c:pt idx="146">
                  <c:v>0</c:v>
                </c:pt>
                <c:pt idx="147">
                  <c:v>0</c:v>
                </c:pt>
                <c:pt idx="148">
                  <c:v>0</c:v>
                </c:pt>
                <c:pt idx="149">
                  <c:v>0</c:v>
                </c:pt>
                <c:pt idx="150">
                  <c:v>0</c:v>
                </c:pt>
                <c:pt idx="151">
                  <c:v>0</c:v>
                </c:pt>
                <c:pt idx="152">
                  <c:v>0</c:v>
                </c:pt>
                <c:pt idx="153">
                  <c:v>0</c:v>
                </c:pt>
                <c:pt idx="154">
                  <c:v>0</c:v>
                </c:pt>
                <c:pt idx="155">
                  <c:v>0</c:v>
                </c:pt>
                <c:pt idx="156">
                  <c:v>0</c:v>
                </c:pt>
                <c:pt idx="157">
                  <c:v>1.67E-2</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1.7399999999999999E-2</c:v>
                </c:pt>
                <c:pt idx="185">
                  <c:v>0</c:v>
                </c:pt>
                <c:pt idx="186">
                  <c:v>0</c:v>
                </c:pt>
                <c:pt idx="187">
                  <c:v>0</c:v>
                </c:pt>
                <c:pt idx="188">
                  <c:v>1.7500000000000002E-2</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1.7899999999999999E-2</c:v>
                </c:pt>
                <c:pt idx="204">
                  <c:v>1.7899999999999999E-2</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1.9E-2</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2.0299999999999999E-2</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2.06E-2</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numCache>
            </c:numRef>
          </c:val>
        </c:ser>
        <c:dLbls>
          <c:showLegendKey val="0"/>
          <c:showVal val="0"/>
          <c:showCatName val="0"/>
          <c:showSerName val="0"/>
          <c:showPercent val="0"/>
          <c:showBubbleSize val="0"/>
        </c:dLbls>
        <c:gapWidth val="0"/>
        <c:overlap val="100"/>
        <c:axId val="113802752"/>
        <c:axId val="64544064"/>
      </c:barChart>
      <c:catAx>
        <c:axId val="113802752"/>
        <c:scaling>
          <c:orientation val="minMax"/>
        </c:scaling>
        <c:delete val="1"/>
        <c:axPos val="b"/>
        <c:numFmt formatCode="0.0%" sourceLinked="0"/>
        <c:majorTickMark val="out"/>
        <c:minorTickMark val="none"/>
        <c:tickLblPos val="nextTo"/>
        <c:crossAx val="64544064"/>
        <c:crosses val="autoZero"/>
        <c:auto val="1"/>
        <c:lblAlgn val="ctr"/>
        <c:lblOffset val="100"/>
        <c:noMultiLvlLbl val="0"/>
      </c:catAx>
      <c:valAx>
        <c:axId val="64544064"/>
        <c:scaling>
          <c:orientation val="minMax"/>
        </c:scaling>
        <c:delete val="0"/>
        <c:axPos val="l"/>
        <c:majorGridlines/>
        <c:numFmt formatCode="0.00%" sourceLinked="1"/>
        <c:majorTickMark val="out"/>
        <c:minorTickMark val="none"/>
        <c:tickLblPos val="nextTo"/>
        <c:crossAx val="113802752"/>
        <c:crosses val="autoZero"/>
        <c:crossBetween val="between"/>
      </c:valAx>
    </c:plotArea>
    <c:legend>
      <c:legendPos val="r"/>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7B15E-0771-4059-A59E-DC7B7D3A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11192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Winterbottom , Geoffrey</dc:creator>
  <cp:lastModifiedBy>Winterbottom , Geoffrey</cp:lastModifiedBy>
  <cp:revision>2</cp:revision>
  <dcterms:created xsi:type="dcterms:W3CDTF">2019-01-10T14:02:00Z</dcterms:created>
  <dcterms:modified xsi:type="dcterms:W3CDTF">2019-01-10T14:02:00Z</dcterms:modified>
</cp:coreProperties>
</file>