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2E9F7" w14:textId="77777777" w:rsidR="00534804" w:rsidRPr="00E871B9" w:rsidRDefault="000F37AA" w:rsidP="00534804">
      <w:pPr>
        <w:rPr>
          <w:rFonts w:cs="Arial"/>
          <w:sz w:val="20"/>
          <w:szCs w:val="20"/>
        </w:rPr>
      </w:pPr>
      <w:bookmarkStart w:id="0" w:name="_GoBack"/>
      <w:bookmarkEnd w:id="0"/>
      <w:r>
        <w:rPr>
          <w:noProof/>
          <w:lang w:eastAsia="en-GB"/>
        </w:rPr>
        <w:drawing>
          <wp:anchor distT="0" distB="0" distL="114300" distR="114300" simplePos="0" relativeHeight="251659264" behindDoc="0" locked="0" layoutInCell="1" allowOverlap="1" wp14:anchorId="72780B17" wp14:editId="024E6F77">
            <wp:simplePos x="0" y="0"/>
            <wp:positionH relativeFrom="column">
              <wp:posOffset>2265045</wp:posOffset>
            </wp:positionH>
            <wp:positionV relativeFrom="paragraph">
              <wp:posOffset>-569595</wp:posOffset>
            </wp:positionV>
            <wp:extent cx="1430655" cy="1036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OMA small.jpg"/>
                    <pic:cNvPicPr/>
                  </pic:nvPicPr>
                  <pic:blipFill>
                    <a:blip r:embed="rId8">
                      <a:extLst>
                        <a:ext uri="{28A0092B-C50C-407E-A947-70E740481C1C}">
                          <a14:useLocalDpi xmlns:a14="http://schemas.microsoft.com/office/drawing/2010/main" val="0"/>
                        </a:ext>
                      </a:extLst>
                    </a:blip>
                    <a:stretch>
                      <a:fillRect/>
                    </a:stretch>
                  </pic:blipFill>
                  <pic:spPr>
                    <a:xfrm>
                      <a:off x="0" y="0"/>
                      <a:ext cx="1430655" cy="1036320"/>
                    </a:xfrm>
                    <a:prstGeom prst="rect">
                      <a:avLst/>
                    </a:prstGeom>
                  </pic:spPr>
                </pic:pic>
              </a:graphicData>
            </a:graphic>
            <wp14:sizeRelH relativeFrom="page">
              <wp14:pctWidth>0</wp14:pctWidth>
            </wp14:sizeRelH>
            <wp14:sizeRelV relativeFrom="page">
              <wp14:pctHeight>0</wp14:pctHeight>
            </wp14:sizeRelV>
          </wp:anchor>
        </w:drawing>
      </w:r>
    </w:p>
    <w:p w14:paraId="31F66700" w14:textId="77777777" w:rsidR="00534804" w:rsidRDefault="00534804" w:rsidP="00534804">
      <w:pPr>
        <w:rPr>
          <w:rFonts w:cs="Arial"/>
          <w:sz w:val="20"/>
          <w:szCs w:val="20"/>
        </w:rPr>
      </w:pPr>
    </w:p>
    <w:p w14:paraId="54DA334E" w14:textId="77777777" w:rsidR="00B94C6E" w:rsidRDefault="00534804" w:rsidP="000F37AA">
      <w:pPr>
        <w:tabs>
          <w:tab w:val="left" w:pos="3890"/>
        </w:tabs>
        <w:rPr>
          <w:sz w:val="28"/>
          <w:szCs w:val="28"/>
        </w:rPr>
      </w:pPr>
      <w:r>
        <w:rPr>
          <w:rFonts w:cs="Arial"/>
          <w:sz w:val="20"/>
          <w:szCs w:val="20"/>
        </w:rPr>
        <w:tab/>
      </w:r>
    </w:p>
    <w:p w14:paraId="51EF1C0A" w14:textId="77777777" w:rsidR="00B94C6E" w:rsidRPr="004850BB" w:rsidRDefault="00534804" w:rsidP="00B94C6E">
      <w:pPr>
        <w:pStyle w:val="Header"/>
        <w:jc w:val="center"/>
        <w:rPr>
          <w:rFonts w:cs="Arial"/>
          <w:sz w:val="16"/>
          <w:szCs w:val="16"/>
        </w:rPr>
      </w:pPr>
      <w:r>
        <w:rPr>
          <w:rFonts w:cs="Arial"/>
          <w:sz w:val="16"/>
          <w:szCs w:val="16"/>
        </w:rPr>
        <w:t xml:space="preserve">   </w:t>
      </w:r>
      <w:r w:rsidR="00B94C6E" w:rsidRPr="004850BB">
        <w:rPr>
          <w:rFonts w:cs="Arial"/>
          <w:sz w:val="16"/>
          <w:szCs w:val="16"/>
        </w:rPr>
        <w:t>The Special Interest Group of Municipal Authorities (Outside London)</w:t>
      </w:r>
    </w:p>
    <w:p w14:paraId="5D138A44" w14:textId="77777777" w:rsidR="00534804" w:rsidRPr="000F37AA" w:rsidRDefault="00534804" w:rsidP="000F37AA">
      <w:pPr>
        <w:tabs>
          <w:tab w:val="left" w:pos="426"/>
        </w:tabs>
        <w:rPr>
          <w:b/>
          <w:sz w:val="16"/>
          <w:szCs w:val="16"/>
        </w:rPr>
      </w:pPr>
    </w:p>
    <w:p w14:paraId="51AC3C5A" w14:textId="5B629645" w:rsidR="004B36BA" w:rsidRDefault="00534804" w:rsidP="00534804">
      <w:pPr>
        <w:tabs>
          <w:tab w:val="left" w:pos="426"/>
        </w:tabs>
        <w:jc w:val="center"/>
        <w:rPr>
          <w:b/>
          <w:sz w:val="28"/>
          <w:szCs w:val="28"/>
        </w:rPr>
      </w:pPr>
      <w:r w:rsidRPr="00534804">
        <w:rPr>
          <w:b/>
          <w:sz w:val="28"/>
          <w:szCs w:val="28"/>
        </w:rPr>
        <w:t>SIG</w:t>
      </w:r>
      <w:r w:rsidR="00623026">
        <w:rPr>
          <w:b/>
          <w:sz w:val="28"/>
          <w:szCs w:val="28"/>
        </w:rPr>
        <w:t xml:space="preserve">OMA RESPONSE TO THE </w:t>
      </w:r>
      <w:r w:rsidR="009D58FF">
        <w:rPr>
          <w:b/>
          <w:sz w:val="28"/>
          <w:szCs w:val="28"/>
        </w:rPr>
        <w:t>POLICY PAPER ON COVID-FUNDING FOR 2021-</w:t>
      </w:r>
      <w:r w:rsidR="00F83A02">
        <w:rPr>
          <w:b/>
          <w:sz w:val="28"/>
          <w:szCs w:val="28"/>
        </w:rPr>
        <w:t>22</w:t>
      </w:r>
    </w:p>
    <w:p w14:paraId="579426E1" w14:textId="77777777" w:rsidR="00534804" w:rsidRPr="000F37AA" w:rsidRDefault="00534804" w:rsidP="00534804">
      <w:pPr>
        <w:tabs>
          <w:tab w:val="left" w:pos="426"/>
        </w:tabs>
        <w:jc w:val="center"/>
        <w:rPr>
          <w:b/>
          <w:sz w:val="16"/>
          <w:szCs w:val="16"/>
        </w:rPr>
      </w:pPr>
    </w:p>
    <w:p w14:paraId="69A46BF0" w14:textId="77777777" w:rsidR="004B36BA" w:rsidRPr="001D10D3" w:rsidRDefault="004B36BA" w:rsidP="001D10D3">
      <w:pPr>
        <w:pStyle w:val="ListParagraph"/>
        <w:numPr>
          <w:ilvl w:val="0"/>
          <w:numId w:val="3"/>
        </w:numPr>
        <w:tabs>
          <w:tab w:val="left" w:pos="426"/>
        </w:tabs>
        <w:spacing w:line="240" w:lineRule="auto"/>
        <w:ind w:left="0" w:firstLine="0"/>
        <w:rPr>
          <w:b/>
        </w:rPr>
      </w:pPr>
      <w:r w:rsidRPr="001D10D3">
        <w:rPr>
          <w:b/>
        </w:rPr>
        <w:t>About SIGOMA</w:t>
      </w:r>
    </w:p>
    <w:p w14:paraId="63CDCD19" w14:textId="77777777" w:rsidR="004B36BA" w:rsidRPr="003809DB" w:rsidRDefault="004B36BA" w:rsidP="001D10D3">
      <w:pPr>
        <w:pStyle w:val="ListParagraph"/>
        <w:numPr>
          <w:ilvl w:val="1"/>
          <w:numId w:val="3"/>
        </w:numPr>
        <w:tabs>
          <w:tab w:val="left" w:pos="426"/>
        </w:tabs>
        <w:spacing w:line="240" w:lineRule="auto"/>
        <w:ind w:left="0" w:firstLine="0"/>
      </w:pPr>
      <w:r w:rsidRPr="003809DB">
        <w:t>This submission is made on behalf of SIGOMA, the Special Interest Group of Municipal Authorities</w:t>
      </w:r>
      <w:r>
        <w:t>.</w:t>
      </w:r>
      <w:r w:rsidR="00983336">
        <w:t xml:space="preserve"> We welcome the opportunity to respond to the consultation.</w:t>
      </w:r>
    </w:p>
    <w:p w14:paraId="69421C09" w14:textId="77777777" w:rsidR="004B36BA" w:rsidRPr="003809DB" w:rsidRDefault="004B36BA" w:rsidP="00A02BEC">
      <w:pPr>
        <w:tabs>
          <w:tab w:val="left" w:pos="426"/>
        </w:tabs>
      </w:pPr>
    </w:p>
    <w:p w14:paraId="589DCAD7" w14:textId="2C1B2E76" w:rsidR="00276448" w:rsidRDefault="004B36BA" w:rsidP="00702592">
      <w:pPr>
        <w:pStyle w:val="ListParagraph"/>
        <w:numPr>
          <w:ilvl w:val="1"/>
          <w:numId w:val="3"/>
        </w:numPr>
        <w:tabs>
          <w:tab w:val="left" w:pos="426"/>
        </w:tabs>
        <w:spacing w:line="240" w:lineRule="auto"/>
        <w:ind w:left="0" w:firstLine="0"/>
      </w:pPr>
      <w:r w:rsidRPr="003809DB">
        <w:t>SIGOMA is a special inter</w:t>
      </w:r>
      <w:r w:rsidR="00427114">
        <w:t>est group (within the LGA) representing</w:t>
      </w:r>
      <w:r w:rsidR="00F94111">
        <w:t xml:space="preserve"> 47</w:t>
      </w:r>
      <w:r w:rsidRPr="003809DB">
        <w:t xml:space="preserve"> l</w:t>
      </w:r>
      <w:r w:rsidR="00427114">
        <w:t xml:space="preserve">ocal authorities covering key urban areas in the North </w:t>
      </w:r>
      <w:r w:rsidR="00784FED">
        <w:t>West,</w:t>
      </w:r>
      <w:r w:rsidRPr="003809DB">
        <w:t xml:space="preserve"> </w:t>
      </w:r>
      <w:r w:rsidR="00427114">
        <w:t>East and West M</w:t>
      </w:r>
      <w:r w:rsidRPr="003809DB">
        <w:t>idland</w:t>
      </w:r>
      <w:r w:rsidR="00427114">
        <w:t>s, the North East, Y</w:t>
      </w:r>
      <w:r w:rsidR="00BA46D9">
        <w:t>orkshire &amp;</w:t>
      </w:r>
      <w:r w:rsidR="00427114">
        <w:t xml:space="preserve"> Humberside and the South-</w:t>
      </w:r>
      <w:r w:rsidR="00784FED">
        <w:t>coast;</w:t>
      </w:r>
      <w:r w:rsidRPr="003809DB">
        <w:t xml:space="preserve"> consisting of </w:t>
      </w:r>
      <w:r w:rsidR="00F94111">
        <w:t>33</w:t>
      </w:r>
      <w:r>
        <w:t xml:space="preserve"> metropolitan districts and 14</w:t>
      </w:r>
      <w:r w:rsidRPr="003809DB">
        <w:t xml:space="preserve"> major unitary authorities.</w:t>
      </w:r>
      <w:r w:rsidR="00276448">
        <w:t xml:space="preserve"> </w:t>
      </w:r>
    </w:p>
    <w:p w14:paraId="387B9284" w14:textId="77777777" w:rsidR="00276448" w:rsidRDefault="00276448" w:rsidP="00276448">
      <w:pPr>
        <w:pStyle w:val="ListParagraph"/>
      </w:pPr>
    </w:p>
    <w:p w14:paraId="70E40A54" w14:textId="41BFCB76" w:rsidR="006606CC" w:rsidRDefault="00276448" w:rsidP="00702592">
      <w:pPr>
        <w:pStyle w:val="ListParagraph"/>
        <w:numPr>
          <w:ilvl w:val="1"/>
          <w:numId w:val="3"/>
        </w:numPr>
        <w:tabs>
          <w:tab w:val="left" w:pos="426"/>
        </w:tabs>
        <w:spacing w:line="240" w:lineRule="auto"/>
        <w:ind w:left="0" w:firstLine="0"/>
      </w:pPr>
      <w:r>
        <w:t>In demographic profile SIGOMA councils comprise 6.1 million households, over 25% of England’s total</w:t>
      </w:r>
      <w:r>
        <w:rPr>
          <w:rStyle w:val="FootnoteReference"/>
        </w:rPr>
        <w:footnoteReference w:id="1"/>
      </w:r>
      <w:r>
        <w:t xml:space="preserve"> but are </w:t>
      </w:r>
      <w:r w:rsidR="00784FED">
        <w:t>over-represented</w:t>
      </w:r>
      <w:r>
        <w:t xml:space="preserve"> in poverty indicators and the related demand for services </w:t>
      </w:r>
      <w:r w:rsidR="00E57A5C">
        <w:t>whilst</w:t>
      </w:r>
      <w:r>
        <w:t xml:space="preserve"> at the same time under</w:t>
      </w:r>
      <w:r w:rsidR="00784FED">
        <w:t>-</w:t>
      </w:r>
      <w:r>
        <w:t>represented in terms of council tax and business rate earnings, increasingly i</w:t>
      </w:r>
      <w:r w:rsidR="002C4C8F">
        <w:t>nfluential</w:t>
      </w:r>
      <w:r>
        <w:t xml:space="preserve"> in the funding framework for local government</w:t>
      </w:r>
    </w:p>
    <w:p w14:paraId="181C3CD0" w14:textId="77777777" w:rsidR="009D58FF" w:rsidRDefault="009D58FF" w:rsidP="009D58FF">
      <w:pPr>
        <w:pStyle w:val="ListParagraph"/>
      </w:pPr>
    </w:p>
    <w:p w14:paraId="2AE64452" w14:textId="40094716" w:rsidR="009D58FF" w:rsidRDefault="00276448" w:rsidP="00702592">
      <w:pPr>
        <w:pStyle w:val="ListParagraph"/>
        <w:numPr>
          <w:ilvl w:val="1"/>
          <w:numId w:val="3"/>
        </w:numPr>
        <w:tabs>
          <w:tab w:val="left" w:pos="426"/>
        </w:tabs>
        <w:spacing w:line="240" w:lineRule="auto"/>
        <w:ind w:left="0" w:firstLine="0"/>
      </w:pPr>
      <w:r>
        <w:t xml:space="preserve">Many of our members in were </w:t>
      </w:r>
      <w:r w:rsidR="00286C25">
        <w:t>within the highest tiers of local lockdown prior to this latest national event</w:t>
      </w:r>
      <w:r w:rsidR="001B2706">
        <w:t>. Over the 5 months to July the number of covid related deaths in the most deprived decile was 30% higher than that of the least deprived decile</w:t>
      </w:r>
      <w:r w:rsidR="00E57A5C">
        <w:t>.</w:t>
      </w:r>
    </w:p>
    <w:p w14:paraId="2F52F585" w14:textId="77777777" w:rsidR="00E57A5C" w:rsidRDefault="00E57A5C" w:rsidP="00E57A5C">
      <w:pPr>
        <w:pStyle w:val="ListParagraph"/>
      </w:pPr>
    </w:p>
    <w:p w14:paraId="5B037957" w14:textId="63515C87" w:rsidR="00E57A5C" w:rsidRDefault="00784FED" w:rsidP="00E57A5C">
      <w:pPr>
        <w:pStyle w:val="ListParagraph"/>
        <w:tabs>
          <w:tab w:val="left" w:pos="426"/>
        </w:tabs>
        <w:spacing w:line="240" w:lineRule="auto"/>
        <w:ind w:left="0"/>
      </w:pPr>
      <w:r>
        <w:t xml:space="preserve">           </w:t>
      </w:r>
      <w:r w:rsidR="00E57A5C">
        <w:t>Covid Deaths per 100,000 March to July</w:t>
      </w:r>
      <w:r w:rsidR="00591ED1">
        <w:rPr>
          <w:rStyle w:val="FootnoteReference"/>
        </w:rPr>
        <w:footnoteReference w:id="2"/>
      </w:r>
    </w:p>
    <w:p w14:paraId="45E1433D" w14:textId="4B02AE7E" w:rsidR="00E57A5C" w:rsidRDefault="00E57A5C" w:rsidP="00E57A5C">
      <w:pPr>
        <w:pStyle w:val="ListParagraph"/>
      </w:pPr>
      <w:r>
        <w:rPr>
          <w:noProof/>
        </w:rPr>
        <w:drawing>
          <wp:inline distT="0" distB="0" distL="0" distR="0" wp14:anchorId="077589DC" wp14:editId="5D06F893">
            <wp:extent cx="3581400" cy="21528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1539" cy="2158902"/>
                    </a:xfrm>
                    <a:prstGeom prst="rect">
                      <a:avLst/>
                    </a:prstGeom>
                    <a:noFill/>
                  </pic:spPr>
                </pic:pic>
              </a:graphicData>
            </a:graphic>
          </wp:inline>
        </w:drawing>
      </w:r>
    </w:p>
    <w:p w14:paraId="2BD406B8" w14:textId="00129152" w:rsidR="00E57A5C" w:rsidRDefault="00E57A5C" w:rsidP="00E57A5C">
      <w:pPr>
        <w:pStyle w:val="ListParagraph"/>
      </w:pPr>
    </w:p>
    <w:p w14:paraId="40779022" w14:textId="43578082" w:rsidR="00E57A5C" w:rsidRDefault="00E57A5C" w:rsidP="00702592">
      <w:pPr>
        <w:pStyle w:val="ListParagraph"/>
        <w:numPr>
          <w:ilvl w:val="1"/>
          <w:numId w:val="3"/>
        </w:numPr>
        <w:tabs>
          <w:tab w:val="left" w:pos="426"/>
        </w:tabs>
        <w:spacing w:line="240" w:lineRule="auto"/>
        <w:ind w:left="0" w:firstLine="0"/>
      </w:pPr>
      <w:r>
        <w:t>Over that period</w:t>
      </w:r>
      <w:r w:rsidR="00784FED">
        <w:t>,</w:t>
      </w:r>
      <w:r>
        <w:t xml:space="preserve"> whilst the average mortality rate was 91 per 100,000 the average rate for our members was 113.</w:t>
      </w:r>
    </w:p>
    <w:p w14:paraId="1BA3571C" w14:textId="77777777" w:rsidR="00E57A5C" w:rsidRDefault="00E57A5C" w:rsidP="00E57A5C">
      <w:pPr>
        <w:pStyle w:val="ListParagraph"/>
        <w:tabs>
          <w:tab w:val="left" w:pos="426"/>
        </w:tabs>
        <w:spacing w:line="240" w:lineRule="auto"/>
        <w:ind w:left="0"/>
      </w:pPr>
    </w:p>
    <w:p w14:paraId="67736E0A" w14:textId="1F71B7A2" w:rsidR="00E57A5C" w:rsidRDefault="002C4C8F" w:rsidP="00702592">
      <w:pPr>
        <w:pStyle w:val="ListParagraph"/>
        <w:numPr>
          <w:ilvl w:val="1"/>
          <w:numId w:val="3"/>
        </w:numPr>
        <w:tabs>
          <w:tab w:val="left" w:pos="426"/>
        </w:tabs>
        <w:spacing w:line="240" w:lineRule="auto"/>
        <w:ind w:left="0" w:firstLine="0"/>
      </w:pPr>
      <w:r>
        <w:t>It is</w:t>
      </w:r>
      <w:r w:rsidR="007B423C">
        <w:t>,</w:t>
      </w:r>
      <w:r>
        <w:t xml:space="preserve"> therefore</w:t>
      </w:r>
      <w:r w:rsidR="007B423C">
        <w:t>,</w:t>
      </w:r>
      <w:r>
        <w:t xml:space="preserve"> vital that government continues to place emphasis on deprivation when considering the likely funding needs of councils in response to the pandemic.</w:t>
      </w:r>
    </w:p>
    <w:p w14:paraId="78C645A4" w14:textId="77777777" w:rsidR="00E57A5C" w:rsidRDefault="00E57A5C" w:rsidP="00E57A5C">
      <w:pPr>
        <w:pStyle w:val="ListParagraph"/>
      </w:pPr>
    </w:p>
    <w:p w14:paraId="20DE723A" w14:textId="391CE7CA" w:rsidR="00E57A5C" w:rsidRPr="00470EE8" w:rsidRDefault="00F973AF" w:rsidP="007B423C">
      <w:pPr>
        <w:pStyle w:val="ListParagraph"/>
        <w:numPr>
          <w:ilvl w:val="0"/>
          <w:numId w:val="3"/>
        </w:numPr>
        <w:tabs>
          <w:tab w:val="left" w:pos="426"/>
        </w:tabs>
        <w:spacing w:line="240" w:lineRule="auto"/>
        <w:rPr>
          <w:b/>
          <w:bCs/>
        </w:rPr>
      </w:pPr>
      <w:r>
        <w:rPr>
          <w:b/>
          <w:bCs/>
        </w:rPr>
        <w:t xml:space="preserve">Q1: </w:t>
      </w:r>
      <w:r w:rsidR="007B423C" w:rsidRPr="00470EE8">
        <w:rPr>
          <w:b/>
          <w:bCs/>
        </w:rPr>
        <w:t>Do you agree with our policy proposal to distributing £670 million of local council tax support</w:t>
      </w:r>
      <w:r w:rsidR="00470EE8" w:rsidRPr="00470EE8">
        <w:rPr>
          <w:b/>
          <w:bCs/>
        </w:rPr>
        <w:t>?</w:t>
      </w:r>
    </w:p>
    <w:p w14:paraId="71CCDCBE" w14:textId="77777777" w:rsidR="002C4C8F" w:rsidRDefault="002C4C8F" w:rsidP="002C4C8F">
      <w:pPr>
        <w:pStyle w:val="ListParagraph"/>
      </w:pPr>
    </w:p>
    <w:p w14:paraId="577D0244" w14:textId="374D7669" w:rsidR="002C4C8F" w:rsidRDefault="0062092C" w:rsidP="00702592">
      <w:pPr>
        <w:pStyle w:val="ListParagraph"/>
        <w:numPr>
          <w:ilvl w:val="1"/>
          <w:numId w:val="3"/>
        </w:numPr>
        <w:tabs>
          <w:tab w:val="left" w:pos="426"/>
        </w:tabs>
        <w:spacing w:line="240" w:lineRule="auto"/>
        <w:ind w:left="0" w:firstLine="0"/>
      </w:pPr>
      <w:r>
        <w:t>Members support the use of average working age LCTS claimants as a means of allocation.</w:t>
      </w:r>
    </w:p>
    <w:p w14:paraId="31C47D6D" w14:textId="77777777" w:rsidR="0062092C" w:rsidRDefault="0062092C" w:rsidP="0062092C">
      <w:pPr>
        <w:pStyle w:val="ListParagraph"/>
        <w:tabs>
          <w:tab w:val="left" w:pos="426"/>
        </w:tabs>
        <w:spacing w:line="240" w:lineRule="auto"/>
        <w:ind w:left="0"/>
      </w:pPr>
    </w:p>
    <w:p w14:paraId="0AD20D1B" w14:textId="27E68AB6" w:rsidR="0062092C" w:rsidRDefault="0062092C" w:rsidP="00702592">
      <w:pPr>
        <w:pStyle w:val="ListParagraph"/>
        <w:numPr>
          <w:ilvl w:val="1"/>
          <w:numId w:val="3"/>
        </w:numPr>
        <w:tabs>
          <w:tab w:val="left" w:pos="426"/>
        </w:tabs>
        <w:spacing w:line="240" w:lineRule="auto"/>
        <w:ind w:left="0" w:firstLine="0"/>
      </w:pPr>
      <w:r>
        <w:t>Members are less sure that the use of average council tax to further weight allocations will yield a fair distribution.</w:t>
      </w:r>
    </w:p>
    <w:p w14:paraId="218F6099" w14:textId="77777777" w:rsidR="002C4C8F" w:rsidRDefault="002C4C8F" w:rsidP="002C4C8F">
      <w:pPr>
        <w:pStyle w:val="ListParagraph"/>
      </w:pPr>
    </w:p>
    <w:p w14:paraId="05DE0BA2" w14:textId="21A328E1" w:rsidR="002C4C8F" w:rsidRDefault="0062092C" w:rsidP="00702592">
      <w:pPr>
        <w:pStyle w:val="ListParagraph"/>
        <w:numPr>
          <w:ilvl w:val="1"/>
          <w:numId w:val="3"/>
        </w:numPr>
        <w:tabs>
          <w:tab w:val="left" w:pos="426"/>
        </w:tabs>
        <w:spacing w:line="240" w:lineRule="auto"/>
        <w:ind w:left="0" w:firstLine="0"/>
      </w:pPr>
      <w:r>
        <w:t xml:space="preserve">Logic would suggest that the tax weighting of those in need of support is likely to be skewed towards the lower end of banding. </w:t>
      </w:r>
    </w:p>
    <w:p w14:paraId="0831AC2C" w14:textId="77777777" w:rsidR="002C4C8F" w:rsidRDefault="002C4C8F" w:rsidP="002C4C8F">
      <w:pPr>
        <w:pStyle w:val="ListParagraph"/>
      </w:pPr>
    </w:p>
    <w:p w14:paraId="0855AEF0" w14:textId="3BAAFBFF" w:rsidR="002C4C8F" w:rsidRDefault="002C4C8F" w:rsidP="00702592">
      <w:pPr>
        <w:pStyle w:val="ListParagraph"/>
        <w:numPr>
          <w:ilvl w:val="1"/>
          <w:numId w:val="3"/>
        </w:numPr>
        <w:tabs>
          <w:tab w:val="left" w:pos="426"/>
        </w:tabs>
        <w:spacing w:line="240" w:lineRule="auto"/>
        <w:ind w:left="0" w:firstLine="0"/>
      </w:pPr>
      <w:r>
        <w:t>A</w:t>
      </w:r>
      <w:r w:rsidR="0062092C">
        <w:t xml:space="preserve"> possible </w:t>
      </w:r>
      <w:r w:rsidR="00F973AF">
        <w:t>consequence is</w:t>
      </w:r>
      <w:r w:rsidR="0062092C">
        <w:t xml:space="preserve"> that councils with higher bands</w:t>
      </w:r>
      <w:r w:rsidR="00F973AF">
        <w:t xml:space="preserve"> in their mix</w:t>
      </w:r>
      <w:r w:rsidR="0062092C">
        <w:t xml:space="preserve"> are likely to be able to offer more generous support </w:t>
      </w:r>
      <w:r w:rsidR="00F973AF">
        <w:t>relative to the tax charge than those in poorer ones.</w:t>
      </w:r>
    </w:p>
    <w:p w14:paraId="4C0D5EBE" w14:textId="77777777" w:rsidR="00F973AF" w:rsidRDefault="00F973AF" w:rsidP="00F973AF">
      <w:pPr>
        <w:pStyle w:val="ListParagraph"/>
      </w:pPr>
    </w:p>
    <w:p w14:paraId="1FB05DDB" w14:textId="5BAE78B4" w:rsidR="00F973AF" w:rsidRDefault="00F973AF" w:rsidP="00702592">
      <w:pPr>
        <w:pStyle w:val="ListParagraph"/>
        <w:numPr>
          <w:ilvl w:val="1"/>
          <w:numId w:val="3"/>
        </w:numPr>
        <w:tabs>
          <w:tab w:val="left" w:pos="426"/>
        </w:tabs>
        <w:spacing w:line="240" w:lineRule="auto"/>
        <w:ind w:left="0" w:firstLine="0"/>
      </w:pPr>
      <w:r>
        <w:t>As we assume the end aim is for potential claimants to benefit to the same extent across the country, we would suggest the use of an average weighted more towards average band D tax.</w:t>
      </w:r>
    </w:p>
    <w:p w14:paraId="305F0141" w14:textId="77777777" w:rsidR="002C4C8F" w:rsidRDefault="002C4C8F" w:rsidP="002C4C8F">
      <w:pPr>
        <w:pStyle w:val="ListParagraph"/>
      </w:pPr>
    </w:p>
    <w:p w14:paraId="4FF1E02B" w14:textId="7B897133" w:rsidR="002C4C8F" w:rsidRPr="00DA3652" w:rsidRDefault="00DA3652" w:rsidP="00F973AF">
      <w:pPr>
        <w:pStyle w:val="ListParagraph"/>
        <w:numPr>
          <w:ilvl w:val="0"/>
          <w:numId w:val="3"/>
        </w:numPr>
        <w:tabs>
          <w:tab w:val="left" w:pos="426"/>
        </w:tabs>
        <w:spacing w:line="240" w:lineRule="auto"/>
        <w:rPr>
          <w:b/>
          <w:bCs/>
        </w:rPr>
      </w:pPr>
      <w:r w:rsidRPr="00DA3652">
        <w:rPr>
          <w:b/>
          <w:bCs/>
        </w:rPr>
        <w:t>Q2 Do you agree that we should use 2020-21 budgeted income as a baseline for the SFC scheme?</w:t>
      </w:r>
    </w:p>
    <w:p w14:paraId="33A4B21C" w14:textId="77777777" w:rsidR="002C4C8F" w:rsidRDefault="002C4C8F" w:rsidP="002C4C8F">
      <w:pPr>
        <w:pStyle w:val="ListParagraph"/>
      </w:pPr>
    </w:p>
    <w:p w14:paraId="23F4F91D" w14:textId="1DAEF56C" w:rsidR="002C4C8F" w:rsidRDefault="00DA3652" w:rsidP="00EC0BD1">
      <w:pPr>
        <w:pStyle w:val="ListParagraph"/>
        <w:numPr>
          <w:ilvl w:val="1"/>
          <w:numId w:val="3"/>
        </w:numPr>
        <w:tabs>
          <w:tab w:val="left" w:pos="426"/>
        </w:tabs>
        <w:spacing w:line="240" w:lineRule="auto"/>
        <w:ind w:left="0" w:firstLine="0"/>
      </w:pPr>
      <w:r>
        <w:t>Members agree that this is probably the simplest and most appropriate method to carry forward the SFC scheme</w:t>
      </w:r>
      <w:r w:rsidR="003A1CAF">
        <w:t>.</w:t>
      </w:r>
    </w:p>
    <w:p w14:paraId="488A6E5B" w14:textId="77777777" w:rsidR="002C4C8F" w:rsidRDefault="002C4C8F" w:rsidP="002C4C8F">
      <w:pPr>
        <w:pStyle w:val="ListParagraph"/>
      </w:pPr>
    </w:p>
    <w:p w14:paraId="06F0784B" w14:textId="58B64652" w:rsidR="002C4C8F" w:rsidRDefault="003A1CAF" w:rsidP="00702592">
      <w:pPr>
        <w:pStyle w:val="ListParagraph"/>
        <w:numPr>
          <w:ilvl w:val="1"/>
          <w:numId w:val="3"/>
        </w:numPr>
        <w:tabs>
          <w:tab w:val="left" w:pos="426"/>
        </w:tabs>
        <w:spacing w:line="240" w:lineRule="auto"/>
        <w:ind w:left="0" w:firstLine="0"/>
      </w:pPr>
      <w:r>
        <w:t>Government should continue to recognise that though there may be no national restrictions on specific services it may prove locally impractical to continue services or to provide them at same level</w:t>
      </w:r>
    </w:p>
    <w:p w14:paraId="545A5E62" w14:textId="77777777" w:rsidR="002C4C8F" w:rsidRDefault="002C4C8F" w:rsidP="002C4C8F">
      <w:pPr>
        <w:pStyle w:val="ListParagraph"/>
      </w:pPr>
    </w:p>
    <w:p w14:paraId="27BDDFD8" w14:textId="7B7A0129" w:rsidR="002C4C8F" w:rsidRDefault="003A1CAF" w:rsidP="00702592">
      <w:pPr>
        <w:pStyle w:val="ListParagraph"/>
        <w:numPr>
          <w:ilvl w:val="1"/>
          <w:numId w:val="3"/>
        </w:numPr>
        <w:tabs>
          <w:tab w:val="left" w:pos="426"/>
        </w:tabs>
        <w:spacing w:line="240" w:lineRule="auto"/>
        <w:ind w:left="0" w:firstLine="0"/>
      </w:pPr>
      <w:r>
        <w:t>We would repeat the representations we made to the local government committee inquiry that a review should be made of other services losses many of which will have a community regeneration function as well as receiving investment income. We would welcome dialogue with government on how to distinguish these from purely income earning activities.</w:t>
      </w:r>
    </w:p>
    <w:p w14:paraId="33BFFE0C" w14:textId="77777777" w:rsidR="002C4C8F" w:rsidRDefault="002C4C8F" w:rsidP="002C4C8F">
      <w:pPr>
        <w:pStyle w:val="ListParagraph"/>
      </w:pPr>
    </w:p>
    <w:p w14:paraId="323DE3E1" w14:textId="3C798637" w:rsidR="002C4C8F" w:rsidRPr="00045305" w:rsidRDefault="00045305" w:rsidP="00045305">
      <w:pPr>
        <w:pStyle w:val="ListParagraph"/>
        <w:numPr>
          <w:ilvl w:val="0"/>
          <w:numId w:val="3"/>
        </w:numPr>
        <w:tabs>
          <w:tab w:val="left" w:pos="426"/>
        </w:tabs>
        <w:spacing w:line="240" w:lineRule="auto"/>
        <w:rPr>
          <w:b/>
          <w:bCs/>
        </w:rPr>
      </w:pPr>
      <w:r w:rsidRPr="00045305">
        <w:rPr>
          <w:b/>
          <w:bCs/>
        </w:rPr>
        <w:t>Q3: Do you agree that we should use a quarter of 2020-21 baseline budgets to assess SFC losses, or alternate proposals?</w:t>
      </w:r>
    </w:p>
    <w:p w14:paraId="5299A17F" w14:textId="77777777" w:rsidR="002C4C8F" w:rsidRDefault="002C4C8F" w:rsidP="002C4C8F">
      <w:pPr>
        <w:pStyle w:val="ListParagraph"/>
      </w:pPr>
    </w:p>
    <w:p w14:paraId="68B5BEEE" w14:textId="02EB0373" w:rsidR="002C4C8F" w:rsidRDefault="00045305" w:rsidP="00702592">
      <w:pPr>
        <w:pStyle w:val="ListParagraph"/>
        <w:numPr>
          <w:ilvl w:val="1"/>
          <w:numId w:val="3"/>
        </w:numPr>
        <w:tabs>
          <w:tab w:val="left" w:pos="426"/>
        </w:tabs>
        <w:spacing w:line="240" w:lineRule="auto"/>
        <w:ind w:left="0" w:firstLine="0"/>
      </w:pPr>
      <w:r>
        <w:t>Members concur that in most circumstances this is likely to be the only practicable method of measuring losses over the period, assuming of course that the scheme does not need to be further extended if the situation does not improve.</w:t>
      </w:r>
    </w:p>
    <w:p w14:paraId="59D78F6A" w14:textId="77777777" w:rsidR="002C4C8F" w:rsidRDefault="002C4C8F" w:rsidP="002C4C8F">
      <w:pPr>
        <w:pStyle w:val="ListParagraph"/>
      </w:pPr>
    </w:p>
    <w:p w14:paraId="2955537E" w14:textId="06A5F42E" w:rsidR="002C4C8F" w:rsidRDefault="00045305" w:rsidP="00702592">
      <w:pPr>
        <w:pStyle w:val="ListParagraph"/>
        <w:numPr>
          <w:ilvl w:val="1"/>
          <w:numId w:val="3"/>
        </w:numPr>
        <w:tabs>
          <w:tab w:val="left" w:pos="426"/>
        </w:tabs>
        <w:spacing w:line="240" w:lineRule="auto"/>
        <w:ind w:left="0" w:firstLine="0"/>
      </w:pPr>
      <w:r>
        <w:t xml:space="preserve">It is though, </w:t>
      </w:r>
      <w:r w:rsidR="0035367A">
        <w:t xml:space="preserve">possible it may </w:t>
      </w:r>
      <w:r>
        <w:t>lead to some illogical or unfair results</w:t>
      </w:r>
      <w:r w:rsidR="001907F8">
        <w:t xml:space="preserve">. No particular instances have been raised by our members </w:t>
      </w:r>
    </w:p>
    <w:p w14:paraId="57659865" w14:textId="77777777" w:rsidR="00276448" w:rsidRDefault="00276448" w:rsidP="0035367A">
      <w:pPr>
        <w:pStyle w:val="ListParagraph"/>
        <w:tabs>
          <w:tab w:val="left" w:pos="426"/>
        </w:tabs>
        <w:spacing w:line="240" w:lineRule="auto"/>
        <w:ind w:left="0"/>
      </w:pPr>
    </w:p>
    <w:p w14:paraId="776D3C76" w14:textId="7A8F887F" w:rsidR="005F023E" w:rsidRPr="005F023E" w:rsidRDefault="0035367A" w:rsidP="005F023E">
      <w:pPr>
        <w:pStyle w:val="ListParagraph"/>
        <w:numPr>
          <w:ilvl w:val="0"/>
          <w:numId w:val="3"/>
        </w:numPr>
        <w:tabs>
          <w:tab w:val="left" w:pos="426"/>
        </w:tabs>
        <w:spacing w:line="240" w:lineRule="auto"/>
        <w:rPr>
          <w:b/>
        </w:rPr>
      </w:pPr>
      <w:r>
        <w:rPr>
          <w:b/>
        </w:rPr>
        <w:t xml:space="preserve">Q4: Do you have views for how we ask local authorities to report their COVID related pressures in 22021-22.? Do you have </w:t>
      </w:r>
      <w:r w:rsidR="00475BDD">
        <w:rPr>
          <w:b/>
        </w:rPr>
        <w:t xml:space="preserve">a </w:t>
      </w:r>
      <w:r>
        <w:rPr>
          <w:b/>
        </w:rPr>
        <w:t>view on the frequency of the collection cycle?</w:t>
      </w:r>
    </w:p>
    <w:p w14:paraId="34B57620" w14:textId="77777777" w:rsidR="005F023E" w:rsidRDefault="005F023E" w:rsidP="005F023E">
      <w:pPr>
        <w:pStyle w:val="ListParagraph"/>
        <w:tabs>
          <w:tab w:val="left" w:pos="426"/>
        </w:tabs>
        <w:spacing w:line="240" w:lineRule="auto"/>
        <w:ind w:left="360"/>
      </w:pPr>
    </w:p>
    <w:p w14:paraId="1616D052" w14:textId="6B54999D" w:rsidR="0035367A" w:rsidRDefault="00E064AD" w:rsidP="0035367A">
      <w:pPr>
        <w:pStyle w:val="ListParagraph"/>
        <w:numPr>
          <w:ilvl w:val="1"/>
          <w:numId w:val="3"/>
        </w:numPr>
        <w:tabs>
          <w:tab w:val="left" w:pos="426"/>
        </w:tabs>
        <w:spacing w:line="240" w:lineRule="auto"/>
        <w:ind w:left="0" w:firstLine="0"/>
      </w:pPr>
      <w:r>
        <w:t>We have participated in a recent MHCLG workshop on the issues around reporting in 2021-22 and firstly would like to complement the Department on holding the workshop in advance of setting reporting requirement and recognising the additional burdens it places on local government. To repeat the points made at that workshop:</w:t>
      </w:r>
    </w:p>
    <w:p w14:paraId="4A43AAA4" w14:textId="4228822C" w:rsidR="00E064AD" w:rsidRDefault="00E064AD" w:rsidP="00E064AD">
      <w:pPr>
        <w:pStyle w:val="ListParagraph"/>
        <w:tabs>
          <w:tab w:val="left" w:pos="426"/>
        </w:tabs>
        <w:spacing w:line="240" w:lineRule="auto"/>
        <w:ind w:left="0"/>
      </w:pPr>
    </w:p>
    <w:p w14:paraId="7C2F02BD" w14:textId="025505C9" w:rsidR="00E064AD" w:rsidRDefault="00E064AD" w:rsidP="0035367A">
      <w:pPr>
        <w:pStyle w:val="ListParagraph"/>
        <w:numPr>
          <w:ilvl w:val="1"/>
          <w:numId w:val="3"/>
        </w:numPr>
        <w:tabs>
          <w:tab w:val="left" w:pos="426"/>
        </w:tabs>
        <w:spacing w:line="240" w:lineRule="auto"/>
        <w:ind w:left="0" w:firstLine="0"/>
      </w:pPr>
      <w:r>
        <w:lastRenderedPageBreak/>
        <w:t>Whilst monthly reporting is a burden</w:t>
      </w:r>
      <w:r w:rsidR="006A33B4">
        <w:t>, members are not opposed to continuing this if it is being put to good use. It would be helpful to understand more about the uses which the monitoring returns are being used and the departments own conclusions from them.</w:t>
      </w:r>
    </w:p>
    <w:p w14:paraId="7967E5A9" w14:textId="77777777" w:rsidR="006A33B4" w:rsidRDefault="006A33B4" w:rsidP="006A33B4">
      <w:pPr>
        <w:pStyle w:val="ListParagraph"/>
      </w:pPr>
    </w:p>
    <w:p w14:paraId="5DEA1D03" w14:textId="216C4128" w:rsidR="006A33B4" w:rsidRDefault="006A33B4" w:rsidP="0035367A">
      <w:pPr>
        <w:pStyle w:val="ListParagraph"/>
        <w:numPr>
          <w:ilvl w:val="1"/>
          <w:numId w:val="3"/>
        </w:numPr>
        <w:tabs>
          <w:tab w:val="left" w:pos="426"/>
        </w:tabs>
        <w:spacing w:line="240" w:lineRule="auto"/>
        <w:ind w:left="0" w:firstLine="0"/>
      </w:pPr>
      <w:r>
        <w:t xml:space="preserve">Members point out the additional </w:t>
      </w:r>
      <w:r w:rsidR="00475BDD">
        <w:t xml:space="preserve">reporting </w:t>
      </w:r>
      <w:r>
        <w:t xml:space="preserve">pressures likely to arise in April/May when they are </w:t>
      </w:r>
      <w:r w:rsidR="00F47D6A">
        <w:t xml:space="preserve">also </w:t>
      </w:r>
      <w:r>
        <w:t xml:space="preserve">engaged in statutory </w:t>
      </w:r>
      <w:r w:rsidR="00F47D6A">
        <w:t>reporting</w:t>
      </w:r>
      <w:r>
        <w:t>.</w:t>
      </w:r>
    </w:p>
    <w:p w14:paraId="6D274612" w14:textId="77777777" w:rsidR="006A33B4" w:rsidRDefault="006A33B4" w:rsidP="006A33B4">
      <w:pPr>
        <w:pStyle w:val="ListParagraph"/>
      </w:pPr>
    </w:p>
    <w:p w14:paraId="4BE361AF" w14:textId="257E8FAC" w:rsidR="006A33B4" w:rsidRDefault="006A33B4" w:rsidP="0035367A">
      <w:pPr>
        <w:pStyle w:val="ListParagraph"/>
        <w:numPr>
          <w:ilvl w:val="1"/>
          <w:numId w:val="3"/>
        </w:numPr>
        <w:tabs>
          <w:tab w:val="left" w:pos="426"/>
        </w:tabs>
        <w:spacing w:line="240" w:lineRule="auto"/>
        <w:ind w:left="0" w:firstLine="0"/>
      </w:pPr>
      <w:r>
        <w:t xml:space="preserve">Members were indifferent as to the exact timing of the </w:t>
      </w:r>
      <w:r w:rsidR="00F47D6A">
        <w:t>returns;</w:t>
      </w:r>
      <w:r>
        <w:t xml:space="preserve"> it would help to have longer than a week </w:t>
      </w:r>
      <w:r w:rsidR="00F47D6A">
        <w:t xml:space="preserve">between </w:t>
      </w:r>
      <w:r>
        <w:t>release to return deadline especially where the format is changing and requ</w:t>
      </w:r>
      <w:r w:rsidR="00475BDD">
        <w:t>ires</w:t>
      </w:r>
      <w:r>
        <w:t xml:space="preserve"> more information</w:t>
      </w:r>
      <w:r w:rsidR="00475BDD">
        <w:t>,</w:t>
      </w:r>
      <w:r>
        <w:t xml:space="preserve"> from one iteration to the next.</w:t>
      </w:r>
    </w:p>
    <w:p w14:paraId="1CFCA0E6" w14:textId="77777777" w:rsidR="006A33B4" w:rsidRDefault="006A33B4" w:rsidP="006A33B4">
      <w:pPr>
        <w:pStyle w:val="ListParagraph"/>
      </w:pPr>
    </w:p>
    <w:p w14:paraId="480FB0C0" w14:textId="468AB401" w:rsidR="006A33B4" w:rsidRDefault="006A33B4" w:rsidP="0035367A">
      <w:pPr>
        <w:pStyle w:val="ListParagraph"/>
        <w:numPr>
          <w:ilvl w:val="1"/>
          <w:numId w:val="3"/>
        </w:numPr>
        <w:tabs>
          <w:tab w:val="left" w:pos="426"/>
        </w:tabs>
        <w:spacing w:line="240" w:lineRule="auto"/>
        <w:ind w:left="0" w:firstLine="0"/>
      </w:pPr>
      <w:r>
        <w:t>Members agreed it would be much easier if they had advance notice of the issue dates and return dates as these are often notified only a week or two before.</w:t>
      </w:r>
    </w:p>
    <w:p w14:paraId="71120226" w14:textId="77777777" w:rsidR="006A33B4" w:rsidRDefault="006A33B4" w:rsidP="006A33B4">
      <w:pPr>
        <w:pStyle w:val="ListParagraph"/>
      </w:pPr>
    </w:p>
    <w:p w14:paraId="52285A03" w14:textId="382CD6F2" w:rsidR="006A33B4" w:rsidRDefault="00F47D6A" w:rsidP="0035367A">
      <w:pPr>
        <w:pStyle w:val="ListParagraph"/>
        <w:numPr>
          <w:ilvl w:val="1"/>
          <w:numId w:val="3"/>
        </w:numPr>
        <w:tabs>
          <w:tab w:val="left" w:pos="426"/>
        </w:tabs>
        <w:spacing w:line="240" w:lineRule="auto"/>
        <w:ind w:left="0" w:firstLine="0"/>
      </w:pPr>
      <w:r>
        <w:t>Members also expressed their concern that they were unable to retrospectively correct previous months data.</w:t>
      </w:r>
    </w:p>
    <w:p w14:paraId="27055B54" w14:textId="77777777" w:rsidR="00F47D6A" w:rsidRDefault="00F47D6A" w:rsidP="00F47D6A">
      <w:pPr>
        <w:pStyle w:val="ListParagraph"/>
      </w:pPr>
    </w:p>
    <w:p w14:paraId="2B3EE5DF" w14:textId="4311F2EB" w:rsidR="00F47D6A" w:rsidRDefault="00F47D6A" w:rsidP="0035367A">
      <w:pPr>
        <w:pStyle w:val="ListParagraph"/>
        <w:numPr>
          <w:ilvl w:val="1"/>
          <w:numId w:val="3"/>
        </w:numPr>
        <w:tabs>
          <w:tab w:val="left" w:pos="426"/>
        </w:tabs>
        <w:spacing w:line="240" w:lineRule="auto"/>
        <w:ind w:left="0" w:firstLine="0"/>
      </w:pPr>
      <w:r>
        <w:t>Members also expressed doubt about the use to which reserve data may be put and a possible lack of appreciation on the part of Government as to the necessity for reserve headroom given the requirement of councils to balance budgets in each year and to set aside funds for future events.</w:t>
      </w:r>
    </w:p>
    <w:p w14:paraId="17645AAD" w14:textId="77777777" w:rsidR="0089277B" w:rsidRDefault="0089277B" w:rsidP="0089277B">
      <w:pPr>
        <w:pStyle w:val="ListParagraph"/>
      </w:pPr>
    </w:p>
    <w:p w14:paraId="22A10C5F" w14:textId="0007E53C" w:rsidR="0089277B" w:rsidRDefault="0089277B" w:rsidP="0035367A">
      <w:pPr>
        <w:pStyle w:val="ListParagraph"/>
        <w:numPr>
          <w:ilvl w:val="1"/>
          <w:numId w:val="3"/>
        </w:numPr>
        <w:tabs>
          <w:tab w:val="left" w:pos="426"/>
        </w:tabs>
        <w:spacing w:line="240" w:lineRule="auto"/>
        <w:ind w:left="0" w:firstLine="0"/>
      </w:pPr>
      <w:r>
        <w:t>In terms of the baseline for reporting pressures, members agreed that the option of an adjusted 2020-21 Budget offered the simplest solution and would be more consistent across councils.</w:t>
      </w:r>
    </w:p>
    <w:p w14:paraId="5D19452E" w14:textId="77777777" w:rsidR="00E064AD" w:rsidRDefault="00E064AD" w:rsidP="00E064AD">
      <w:pPr>
        <w:pStyle w:val="ListParagraph"/>
      </w:pPr>
    </w:p>
    <w:p w14:paraId="636C8BE7" w14:textId="24EAA86E" w:rsidR="00E064AD" w:rsidRPr="007E69E4" w:rsidRDefault="007E69E4" w:rsidP="007E69E4">
      <w:pPr>
        <w:pStyle w:val="ListParagraph"/>
        <w:numPr>
          <w:ilvl w:val="0"/>
          <w:numId w:val="3"/>
        </w:numPr>
        <w:tabs>
          <w:tab w:val="left" w:pos="426"/>
        </w:tabs>
        <w:spacing w:line="240" w:lineRule="auto"/>
        <w:rPr>
          <w:b/>
          <w:bCs/>
        </w:rPr>
      </w:pPr>
      <w:r>
        <w:rPr>
          <w:b/>
          <w:bCs/>
        </w:rPr>
        <w:t>Local Tax Income Guarantee Scheme</w:t>
      </w:r>
    </w:p>
    <w:p w14:paraId="33F47734" w14:textId="77777777" w:rsidR="00E064AD" w:rsidRDefault="00E064AD" w:rsidP="00E064AD">
      <w:pPr>
        <w:pStyle w:val="ListParagraph"/>
      </w:pPr>
    </w:p>
    <w:p w14:paraId="11993D93" w14:textId="7B998588" w:rsidR="00E064AD" w:rsidRDefault="007E69E4" w:rsidP="0035367A">
      <w:pPr>
        <w:pStyle w:val="ListParagraph"/>
        <w:numPr>
          <w:ilvl w:val="1"/>
          <w:numId w:val="3"/>
        </w:numPr>
        <w:tabs>
          <w:tab w:val="left" w:pos="426"/>
        </w:tabs>
        <w:spacing w:line="240" w:lineRule="auto"/>
        <w:ind w:left="0" w:firstLine="0"/>
      </w:pPr>
      <w:r>
        <w:t>Our analysis of the Tax Guarantee Schemes suggests that councils will receive no compensation for irrecoverable debts where the bill has been issued locally but is proving impossible or impractical to collect.</w:t>
      </w:r>
    </w:p>
    <w:p w14:paraId="5897885F" w14:textId="77777777" w:rsidR="00E064AD" w:rsidRDefault="00E064AD" w:rsidP="00E064AD">
      <w:pPr>
        <w:pStyle w:val="ListParagraph"/>
      </w:pPr>
    </w:p>
    <w:p w14:paraId="7DA0F575" w14:textId="3BC31A4B" w:rsidR="00E064AD" w:rsidRDefault="009D1D19" w:rsidP="0035367A">
      <w:pPr>
        <w:pStyle w:val="ListParagraph"/>
        <w:numPr>
          <w:ilvl w:val="1"/>
          <w:numId w:val="3"/>
        </w:numPr>
        <w:tabs>
          <w:tab w:val="left" w:pos="426"/>
        </w:tabs>
        <w:spacing w:line="240" w:lineRule="auto"/>
        <w:ind w:left="0" w:firstLine="0"/>
      </w:pPr>
      <w:r>
        <w:t>Whilst all members agree that it is essential for councils to pursue the collection of tax where it is due, it is likely that a much higher value of tax debt is going to prove unrecoverable.</w:t>
      </w:r>
    </w:p>
    <w:p w14:paraId="55B2D4A4" w14:textId="77777777" w:rsidR="00E064AD" w:rsidRDefault="00E064AD" w:rsidP="00E064AD">
      <w:pPr>
        <w:pStyle w:val="ListParagraph"/>
      </w:pPr>
    </w:p>
    <w:p w14:paraId="276F8BC5" w14:textId="3E6A9EC8" w:rsidR="00E064AD" w:rsidRDefault="009D1D19" w:rsidP="0035367A">
      <w:pPr>
        <w:pStyle w:val="ListParagraph"/>
        <w:numPr>
          <w:ilvl w:val="1"/>
          <w:numId w:val="3"/>
        </w:numPr>
        <w:tabs>
          <w:tab w:val="left" w:pos="426"/>
        </w:tabs>
        <w:spacing w:line="240" w:lineRule="auto"/>
        <w:ind w:left="0" w:firstLine="0"/>
      </w:pPr>
      <w:r>
        <w:t>Clearly that figure cannot be accurately assessed during the year but failure to contribute towards such losses will leave councils with a significant potential debt write off, notwithstanding the possibility to spread that over three years rather than one.</w:t>
      </w:r>
    </w:p>
    <w:p w14:paraId="71699875" w14:textId="77777777" w:rsidR="009D1D19" w:rsidRDefault="009D1D19" w:rsidP="009D1D19">
      <w:pPr>
        <w:pStyle w:val="ListParagraph"/>
      </w:pPr>
    </w:p>
    <w:p w14:paraId="1B5A472F" w14:textId="035A8C0F" w:rsidR="009D1D19" w:rsidRDefault="009D1D19" w:rsidP="0035367A">
      <w:pPr>
        <w:pStyle w:val="ListParagraph"/>
        <w:numPr>
          <w:ilvl w:val="1"/>
          <w:numId w:val="3"/>
        </w:numPr>
        <w:tabs>
          <w:tab w:val="left" w:pos="426"/>
        </w:tabs>
        <w:spacing w:line="240" w:lineRule="auto"/>
        <w:ind w:left="0" w:firstLine="0"/>
      </w:pPr>
      <w:r>
        <w:t xml:space="preserve">If the governments aim is to avoid councils taking precipitate action in anticipation of much reduced budgets in the </w:t>
      </w:r>
      <w:proofErr w:type="gramStart"/>
      <w:r>
        <w:t>future</w:t>
      </w:r>
      <w:proofErr w:type="gramEnd"/>
      <w:r>
        <w:t xml:space="preserve"> </w:t>
      </w:r>
      <w:r w:rsidR="00784FED">
        <w:t>then the scheme should be modified or a guarantee of future support for lost tax debt provided</w:t>
      </w:r>
      <w:r w:rsidR="00475BDD">
        <w:t>.</w:t>
      </w:r>
    </w:p>
    <w:sectPr w:rsidR="009D1D19" w:rsidSect="000D701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709"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834C6" w14:textId="77777777" w:rsidR="00AA5EBB" w:rsidRDefault="00AA5EBB" w:rsidP="00C2425C">
      <w:pPr>
        <w:spacing w:line="240" w:lineRule="auto"/>
      </w:pPr>
      <w:r>
        <w:separator/>
      </w:r>
    </w:p>
  </w:endnote>
  <w:endnote w:type="continuationSeparator" w:id="0">
    <w:p w14:paraId="3F48AEEF" w14:textId="77777777" w:rsidR="00AA5EBB" w:rsidRDefault="00AA5EBB" w:rsidP="00C24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CDBB6" w14:textId="77777777" w:rsidR="00310A4A" w:rsidRDefault="00310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673692"/>
      <w:docPartObj>
        <w:docPartGallery w:val="Page Numbers (Bottom of Page)"/>
        <w:docPartUnique/>
      </w:docPartObj>
    </w:sdtPr>
    <w:sdtEndPr>
      <w:rPr>
        <w:color w:val="808080" w:themeColor="background1" w:themeShade="80"/>
        <w:spacing w:val="60"/>
      </w:rPr>
    </w:sdtEndPr>
    <w:sdtContent>
      <w:p w14:paraId="6F2DD781" w14:textId="77777777" w:rsidR="000D7012" w:rsidRDefault="000D701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57F9B" w:rsidRPr="00F57F9B">
          <w:rPr>
            <w:b/>
            <w:bCs/>
            <w:noProof/>
          </w:rPr>
          <w:t>8</w:t>
        </w:r>
        <w:r>
          <w:rPr>
            <w:b/>
            <w:bCs/>
            <w:noProof/>
          </w:rPr>
          <w:fldChar w:fldCharType="end"/>
        </w:r>
        <w:r>
          <w:rPr>
            <w:b/>
            <w:bCs/>
          </w:rPr>
          <w:t xml:space="preserve"> | </w:t>
        </w:r>
        <w:r>
          <w:rPr>
            <w:color w:val="808080" w:themeColor="background1" w:themeShade="80"/>
            <w:spacing w:val="60"/>
          </w:rPr>
          <w:t>Page</w:t>
        </w:r>
      </w:p>
    </w:sdtContent>
  </w:sdt>
  <w:p w14:paraId="4CB1613B" w14:textId="77777777" w:rsidR="000D7012" w:rsidRDefault="000D70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0B8" w14:textId="77777777" w:rsidR="00310A4A" w:rsidRDefault="00310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9054E" w14:textId="77777777" w:rsidR="00AA5EBB" w:rsidRDefault="00AA5EBB" w:rsidP="00C2425C">
      <w:pPr>
        <w:spacing w:line="240" w:lineRule="auto"/>
      </w:pPr>
      <w:r>
        <w:separator/>
      </w:r>
    </w:p>
  </w:footnote>
  <w:footnote w:type="continuationSeparator" w:id="0">
    <w:p w14:paraId="7A56EEDA" w14:textId="77777777" w:rsidR="00AA5EBB" w:rsidRDefault="00AA5EBB" w:rsidP="00C2425C">
      <w:pPr>
        <w:spacing w:line="240" w:lineRule="auto"/>
      </w:pPr>
      <w:r>
        <w:continuationSeparator/>
      </w:r>
    </w:p>
  </w:footnote>
  <w:footnote w:id="1">
    <w:p w14:paraId="2635AB9B" w14:textId="77777777" w:rsidR="00276448" w:rsidRPr="00F263F1" w:rsidRDefault="00276448" w:rsidP="00276448">
      <w:pPr>
        <w:pStyle w:val="FootnoteText"/>
        <w:rPr>
          <w:sz w:val="18"/>
          <w:szCs w:val="18"/>
        </w:rPr>
      </w:pPr>
      <w:r w:rsidRPr="00F263F1">
        <w:rPr>
          <w:rStyle w:val="FootnoteReference"/>
          <w:sz w:val="18"/>
          <w:szCs w:val="18"/>
        </w:rPr>
        <w:footnoteRef/>
      </w:r>
      <w:r w:rsidRPr="00F263F1">
        <w:rPr>
          <w:sz w:val="18"/>
          <w:szCs w:val="18"/>
        </w:rPr>
        <w:t xml:space="preserve"> As recorded by MHCLG in their core spending power tables 2019-20</w:t>
      </w:r>
    </w:p>
  </w:footnote>
  <w:footnote w:id="2">
    <w:p w14:paraId="7F246640" w14:textId="097398C9" w:rsidR="00591ED1" w:rsidRDefault="00591ED1">
      <w:pPr>
        <w:pStyle w:val="FootnoteText"/>
      </w:pPr>
      <w:r>
        <w:rPr>
          <w:rStyle w:val="FootnoteReference"/>
        </w:rPr>
        <w:footnoteRef/>
      </w:r>
      <w:r>
        <w:t xml:space="preserve"> ONS_</w:t>
      </w:r>
      <w:r w:rsidRPr="00591ED1">
        <w:t xml:space="preserve"> </w:t>
      </w:r>
      <w:r w:rsidRPr="00E064AD">
        <w:rPr>
          <w:sz w:val="18"/>
          <w:szCs w:val="18"/>
        </w:rPr>
        <w:t>https://www.ons.gov.uk/peoplepopulationandcommunity/birthsdeathsandmarriages/deaths/datasets/deathsinvolvingcovid19bylocalareaanddeprivation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664F6" w14:textId="77777777" w:rsidR="00310A4A" w:rsidRDefault="00310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3190F" w14:textId="6DDEAC32" w:rsidR="00310A4A" w:rsidRDefault="00310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E10BE" w14:textId="77777777" w:rsidR="00310A4A" w:rsidRDefault="00310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BE2"/>
    <w:multiLevelType w:val="hybridMultilevel"/>
    <w:tmpl w:val="3852F79A"/>
    <w:lvl w:ilvl="0" w:tplc="C02E34B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D506D"/>
    <w:multiLevelType w:val="hybridMultilevel"/>
    <w:tmpl w:val="7E5ADB36"/>
    <w:lvl w:ilvl="0" w:tplc="BBC8879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C66E9"/>
    <w:multiLevelType w:val="hybridMultilevel"/>
    <w:tmpl w:val="8E90C7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0448C"/>
    <w:multiLevelType w:val="multilevel"/>
    <w:tmpl w:val="0809001F"/>
    <w:lvl w:ilvl="0">
      <w:start w:val="1"/>
      <w:numFmt w:val="decimal"/>
      <w:lvlText w:val="%1."/>
      <w:lvlJc w:val="left"/>
      <w:pPr>
        <w:ind w:left="360" w:hanging="360"/>
      </w:pPr>
    </w:lvl>
    <w:lvl w:ilvl="1">
      <w:start w:val="1"/>
      <w:numFmt w:val="decimal"/>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8844C9"/>
    <w:multiLevelType w:val="hybridMultilevel"/>
    <w:tmpl w:val="1E76DD0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A4281D"/>
    <w:multiLevelType w:val="hybridMultilevel"/>
    <w:tmpl w:val="493CF5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F2DC5"/>
    <w:multiLevelType w:val="hybridMultilevel"/>
    <w:tmpl w:val="592A17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A666D9"/>
    <w:multiLevelType w:val="hybridMultilevel"/>
    <w:tmpl w:val="CDC6CC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83ACA"/>
    <w:multiLevelType w:val="hybridMultilevel"/>
    <w:tmpl w:val="43F6AD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E4287"/>
    <w:multiLevelType w:val="multilevel"/>
    <w:tmpl w:val="0809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471C10"/>
    <w:multiLevelType w:val="hybridMultilevel"/>
    <w:tmpl w:val="70A287E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87D6C"/>
    <w:multiLevelType w:val="hybridMultilevel"/>
    <w:tmpl w:val="C386946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B265AD"/>
    <w:multiLevelType w:val="hybridMultilevel"/>
    <w:tmpl w:val="C6F8D2E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FD057D2"/>
    <w:multiLevelType w:val="hybridMultilevel"/>
    <w:tmpl w:val="F7F28078"/>
    <w:lvl w:ilvl="0" w:tplc="4E100E9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9"/>
  </w:num>
  <w:num w:numId="3">
    <w:abstractNumId w:val="3"/>
  </w:num>
  <w:num w:numId="4">
    <w:abstractNumId w:val="2"/>
  </w:num>
  <w:num w:numId="5">
    <w:abstractNumId w:val="13"/>
  </w:num>
  <w:num w:numId="6">
    <w:abstractNumId w:val="1"/>
  </w:num>
  <w:num w:numId="7">
    <w:abstractNumId w:val="0"/>
  </w:num>
  <w:num w:numId="8">
    <w:abstractNumId w:val="6"/>
  </w:num>
  <w:num w:numId="9">
    <w:abstractNumId w:val="4"/>
  </w:num>
  <w:num w:numId="10">
    <w:abstractNumId w:val="10"/>
  </w:num>
  <w:num w:numId="11">
    <w:abstractNumId w:val="11"/>
  </w:num>
  <w:num w:numId="12">
    <w:abstractNumId w:val="7"/>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78"/>
    <w:rsid w:val="0000619F"/>
    <w:rsid w:val="000141E0"/>
    <w:rsid w:val="000208FA"/>
    <w:rsid w:val="00027764"/>
    <w:rsid w:val="00045305"/>
    <w:rsid w:val="00050418"/>
    <w:rsid w:val="00074C27"/>
    <w:rsid w:val="00083BFD"/>
    <w:rsid w:val="00092EC9"/>
    <w:rsid w:val="000A0527"/>
    <w:rsid w:val="000A2536"/>
    <w:rsid w:val="000A7EE4"/>
    <w:rsid w:val="000B11B6"/>
    <w:rsid w:val="000D4B46"/>
    <w:rsid w:val="000D7012"/>
    <w:rsid w:val="000E2DBA"/>
    <w:rsid w:val="000E5B6C"/>
    <w:rsid w:val="000E779E"/>
    <w:rsid w:val="000F17CC"/>
    <w:rsid w:val="000F37AA"/>
    <w:rsid w:val="000F57E2"/>
    <w:rsid w:val="0010758D"/>
    <w:rsid w:val="00110213"/>
    <w:rsid w:val="00133B00"/>
    <w:rsid w:val="00135E34"/>
    <w:rsid w:val="0015007C"/>
    <w:rsid w:val="00162EA9"/>
    <w:rsid w:val="0016442C"/>
    <w:rsid w:val="00164E75"/>
    <w:rsid w:val="001764DE"/>
    <w:rsid w:val="00177FDA"/>
    <w:rsid w:val="001907F8"/>
    <w:rsid w:val="001B0DC6"/>
    <w:rsid w:val="001B201E"/>
    <w:rsid w:val="001B2706"/>
    <w:rsid w:val="001D066E"/>
    <w:rsid w:val="001D10D3"/>
    <w:rsid w:val="001D4A44"/>
    <w:rsid w:val="001E505A"/>
    <w:rsid w:val="001F1EA3"/>
    <w:rsid w:val="0021109C"/>
    <w:rsid w:val="00217DDB"/>
    <w:rsid w:val="0023755F"/>
    <w:rsid w:val="00246CD6"/>
    <w:rsid w:val="00255353"/>
    <w:rsid w:val="00261B74"/>
    <w:rsid w:val="0026589F"/>
    <w:rsid w:val="00266278"/>
    <w:rsid w:val="00276448"/>
    <w:rsid w:val="00276E55"/>
    <w:rsid w:val="00280387"/>
    <w:rsid w:val="00280DB7"/>
    <w:rsid w:val="002853D8"/>
    <w:rsid w:val="00286C25"/>
    <w:rsid w:val="00292FFD"/>
    <w:rsid w:val="002A3594"/>
    <w:rsid w:val="002A60E7"/>
    <w:rsid w:val="002B2302"/>
    <w:rsid w:val="002B35E0"/>
    <w:rsid w:val="002C4C8F"/>
    <w:rsid w:val="002C6CD3"/>
    <w:rsid w:val="002D2042"/>
    <w:rsid w:val="002E587F"/>
    <w:rsid w:val="00310322"/>
    <w:rsid w:val="00310A4A"/>
    <w:rsid w:val="00315D98"/>
    <w:rsid w:val="00320D3F"/>
    <w:rsid w:val="00351AE6"/>
    <w:rsid w:val="00352E8E"/>
    <w:rsid w:val="0035367A"/>
    <w:rsid w:val="00353AB9"/>
    <w:rsid w:val="003578F7"/>
    <w:rsid w:val="00365F4F"/>
    <w:rsid w:val="00376416"/>
    <w:rsid w:val="0038361C"/>
    <w:rsid w:val="003970E5"/>
    <w:rsid w:val="003A1B6E"/>
    <w:rsid w:val="003A1CAF"/>
    <w:rsid w:val="003A4925"/>
    <w:rsid w:val="003A76E9"/>
    <w:rsid w:val="003C06FC"/>
    <w:rsid w:val="003E3696"/>
    <w:rsid w:val="003E46B6"/>
    <w:rsid w:val="003E66C5"/>
    <w:rsid w:val="003F1B91"/>
    <w:rsid w:val="003F2052"/>
    <w:rsid w:val="003F691B"/>
    <w:rsid w:val="00401F3C"/>
    <w:rsid w:val="004120FE"/>
    <w:rsid w:val="00415603"/>
    <w:rsid w:val="0042081F"/>
    <w:rsid w:val="00426736"/>
    <w:rsid w:val="00427114"/>
    <w:rsid w:val="00431904"/>
    <w:rsid w:val="004332A1"/>
    <w:rsid w:val="0043331D"/>
    <w:rsid w:val="00446736"/>
    <w:rsid w:val="00454A18"/>
    <w:rsid w:val="00455F7D"/>
    <w:rsid w:val="004614C4"/>
    <w:rsid w:val="00470EE8"/>
    <w:rsid w:val="00471921"/>
    <w:rsid w:val="00475BDD"/>
    <w:rsid w:val="004A1F30"/>
    <w:rsid w:val="004A62FE"/>
    <w:rsid w:val="004B0F73"/>
    <w:rsid w:val="004B36BA"/>
    <w:rsid w:val="004E0B83"/>
    <w:rsid w:val="004E3397"/>
    <w:rsid w:val="004E7A00"/>
    <w:rsid w:val="00513C7F"/>
    <w:rsid w:val="00517555"/>
    <w:rsid w:val="00517C4B"/>
    <w:rsid w:val="00534804"/>
    <w:rsid w:val="0053534A"/>
    <w:rsid w:val="00541993"/>
    <w:rsid w:val="0054344D"/>
    <w:rsid w:val="005462BC"/>
    <w:rsid w:val="0055251B"/>
    <w:rsid w:val="005710A0"/>
    <w:rsid w:val="00591ED1"/>
    <w:rsid w:val="005A0321"/>
    <w:rsid w:val="005A284A"/>
    <w:rsid w:val="005A78B1"/>
    <w:rsid w:val="005B172D"/>
    <w:rsid w:val="005B1F6D"/>
    <w:rsid w:val="005D0C7B"/>
    <w:rsid w:val="005E2B02"/>
    <w:rsid w:val="005F023E"/>
    <w:rsid w:val="00617D70"/>
    <w:rsid w:val="0062092C"/>
    <w:rsid w:val="00623026"/>
    <w:rsid w:val="00624365"/>
    <w:rsid w:val="00625089"/>
    <w:rsid w:val="006332DD"/>
    <w:rsid w:val="0063603E"/>
    <w:rsid w:val="00636F5A"/>
    <w:rsid w:val="0064594E"/>
    <w:rsid w:val="006544B6"/>
    <w:rsid w:val="00655E5A"/>
    <w:rsid w:val="0065731C"/>
    <w:rsid w:val="006606CC"/>
    <w:rsid w:val="00686400"/>
    <w:rsid w:val="00695461"/>
    <w:rsid w:val="00696C42"/>
    <w:rsid w:val="006A33B4"/>
    <w:rsid w:val="006B1EC8"/>
    <w:rsid w:val="006B493C"/>
    <w:rsid w:val="006B71A6"/>
    <w:rsid w:val="006B7D17"/>
    <w:rsid w:val="006C3693"/>
    <w:rsid w:val="006D077D"/>
    <w:rsid w:val="006D1A14"/>
    <w:rsid w:val="006D5D3E"/>
    <w:rsid w:val="006F1D83"/>
    <w:rsid w:val="006F3D8D"/>
    <w:rsid w:val="006F6300"/>
    <w:rsid w:val="00701DFD"/>
    <w:rsid w:val="0071339D"/>
    <w:rsid w:val="0073782B"/>
    <w:rsid w:val="0075051C"/>
    <w:rsid w:val="007520D6"/>
    <w:rsid w:val="00753589"/>
    <w:rsid w:val="00760591"/>
    <w:rsid w:val="00765094"/>
    <w:rsid w:val="00766C34"/>
    <w:rsid w:val="007721C5"/>
    <w:rsid w:val="00777ADC"/>
    <w:rsid w:val="00784FED"/>
    <w:rsid w:val="0079023F"/>
    <w:rsid w:val="0079231C"/>
    <w:rsid w:val="007B423C"/>
    <w:rsid w:val="007C26F4"/>
    <w:rsid w:val="007D1F62"/>
    <w:rsid w:val="007E592C"/>
    <w:rsid w:val="007E69E4"/>
    <w:rsid w:val="007F68D4"/>
    <w:rsid w:val="00801064"/>
    <w:rsid w:val="008136F0"/>
    <w:rsid w:val="008160C9"/>
    <w:rsid w:val="00816CD0"/>
    <w:rsid w:val="00817018"/>
    <w:rsid w:val="00821440"/>
    <w:rsid w:val="00821777"/>
    <w:rsid w:val="0082645B"/>
    <w:rsid w:val="00834904"/>
    <w:rsid w:val="0085767D"/>
    <w:rsid w:val="00860F83"/>
    <w:rsid w:val="00864A7F"/>
    <w:rsid w:val="00872017"/>
    <w:rsid w:val="00877DDF"/>
    <w:rsid w:val="00881F06"/>
    <w:rsid w:val="0089277B"/>
    <w:rsid w:val="008A6B66"/>
    <w:rsid w:val="008A79B6"/>
    <w:rsid w:val="008C5332"/>
    <w:rsid w:val="008C7DE5"/>
    <w:rsid w:val="00912A32"/>
    <w:rsid w:val="00922867"/>
    <w:rsid w:val="00930CB8"/>
    <w:rsid w:val="00930E22"/>
    <w:rsid w:val="00941B8D"/>
    <w:rsid w:val="00957DA8"/>
    <w:rsid w:val="00961085"/>
    <w:rsid w:val="009675A2"/>
    <w:rsid w:val="00971741"/>
    <w:rsid w:val="00983336"/>
    <w:rsid w:val="00984D8D"/>
    <w:rsid w:val="009920F1"/>
    <w:rsid w:val="0099446E"/>
    <w:rsid w:val="0099737E"/>
    <w:rsid w:val="009C37FC"/>
    <w:rsid w:val="009D1D19"/>
    <w:rsid w:val="009D58FF"/>
    <w:rsid w:val="009D6F45"/>
    <w:rsid w:val="009E5022"/>
    <w:rsid w:val="009E64EB"/>
    <w:rsid w:val="009E7E11"/>
    <w:rsid w:val="009F0D52"/>
    <w:rsid w:val="009F16BC"/>
    <w:rsid w:val="009F2AA3"/>
    <w:rsid w:val="009F71F8"/>
    <w:rsid w:val="00A02BEC"/>
    <w:rsid w:val="00A02CF7"/>
    <w:rsid w:val="00A1145E"/>
    <w:rsid w:val="00A30C76"/>
    <w:rsid w:val="00A3288E"/>
    <w:rsid w:val="00A33DA3"/>
    <w:rsid w:val="00A3452C"/>
    <w:rsid w:val="00A34C99"/>
    <w:rsid w:val="00A56FC3"/>
    <w:rsid w:val="00A71027"/>
    <w:rsid w:val="00A777FB"/>
    <w:rsid w:val="00A80829"/>
    <w:rsid w:val="00A9480C"/>
    <w:rsid w:val="00A9796B"/>
    <w:rsid w:val="00AA55C2"/>
    <w:rsid w:val="00AA5622"/>
    <w:rsid w:val="00AA5EBB"/>
    <w:rsid w:val="00AB44C0"/>
    <w:rsid w:val="00AB6800"/>
    <w:rsid w:val="00AC4EEC"/>
    <w:rsid w:val="00AD3D25"/>
    <w:rsid w:val="00AE58B5"/>
    <w:rsid w:val="00AE62EB"/>
    <w:rsid w:val="00B01E91"/>
    <w:rsid w:val="00B1203A"/>
    <w:rsid w:val="00B315F1"/>
    <w:rsid w:val="00B367CE"/>
    <w:rsid w:val="00B44630"/>
    <w:rsid w:val="00B47D08"/>
    <w:rsid w:val="00B54396"/>
    <w:rsid w:val="00B54416"/>
    <w:rsid w:val="00B5783D"/>
    <w:rsid w:val="00B622F4"/>
    <w:rsid w:val="00B67AB5"/>
    <w:rsid w:val="00B7218A"/>
    <w:rsid w:val="00B73599"/>
    <w:rsid w:val="00B76228"/>
    <w:rsid w:val="00B7790B"/>
    <w:rsid w:val="00B875ED"/>
    <w:rsid w:val="00B935B5"/>
    <w:rsid w:val="00B9438C"/>
    <w:rsid w:val="00B94C6E"/>
    <w:rsid w:val="00BA46D9"/>
    <w:rsid w:val="00BB50D3"/>
    <w:rsid w:val="00BB6C45"/>
    <w:rsid w:val="00BB7685"/>
    <w:rsid w:val="00BC071B"/>
    <w:rsid w:val="00BD339F"/>
    <w:rsid w:val="00BD6D52"/>
    <w:rsid w:val="00BE6208"/>
    <w:rsid w:val="00C023B9"/>
    <w:rsid w:val="00C05790"/>
    <w:rsid w:val="00C21558"/>
    <w:rsid w:val="00C2425C"/>
    <w:rsid w:val="00C47792"/>
    <w:rsid w:val="00C50857"/>
    <w:rsid w:val="00C762E2"/>
    <w:rsid w:val="00C86773"/>
    <w:rsid w:val="00C92439"/>
    <w:rsid w:val="00C97C4F"/>
    <w:rsid w:val="00CA1B4F"/>
    <w:rsid w:val="00CA587B"/>
    <w:rsid w:val="00CC3C05"/>
    <w:rsid w:val="00CC3ED6"/>
    <w:rsid w:val="00CD50C0"/>
    <w:rsid w:val="00CE4BF0"/>
    <w:rsid w:val="00CF0D7C"/>
    <w:rsid w:val="00D43718"/>
    <w:rsid w:val="00D56718"/>
    <w:rsid w:val="00D70945"/>
    <w:rsid w:val="00D80AE2"/>
    <w:rsid w:val="00D97B4B"/>
    <w:rsid w:val="00DA03E6"/>
    <w:rsid w:val="00DA3652"/>
    <w:rsid w:val="00DB31DB"/>
    <w:rsid w:val="00DD360D"/>
    <w:rsid w:val="00DE0165"/>
    <w:rsid w:val="00DE24BA"/>
    <w:rsid w:val="00DE4385"/>
    <w:rsid w:val="00E03315"/>
    <w:rsid w:val="00E04F83"/>
    <w:rsid w:val="00E064AD"/>
    <w:rsid w:val="00E17345"/>
    <w:rsid w:val="00E264ED"/>
    <w:rsid w:val="00E369A4"/>
    <w:rsid w:val="00E43F77"/>
    <w:rsid w:val="00E45D79"/>
    <w:rsid w:val="00E47949"/>
    <w:rsid w:val="00E530CE"/>
    <w:rsid w:val="00E57A5C"/>
    <w:rsid w:val="00E81493"/>
    <w:rsid w:val="00EA4C41"/>
    <w:rsid w:val="00EB3A7E"/>
    <w:rsid w:val="00EB4956"/>
    <w:rsid w:val="00EC00DD"/>
    <w:rsid w:val="00EE6659"/>
    <w:rsid w:val="00F05FB9"/>
    <w:rsid w:val="00F0713A"/>
    <w:rsid w:val="00F147F1"/>
    <w:rsid w:val="00F25102"/>
    <w:rsid w:val="00F263F1"/>
    <w:rsid w:val="00F336C6"/>
    <w:rsid w:val="00F35EDB"/>
    <w:rsid w:val="00F47D6A"/>
    <w:rsid w:val="00F50197"/>
    <w:rsid w:val="00F54949"/>
    <w:rsid w:val="00F57399"/>
    <w:rsid w:val="00F57F9B"/>
    <w:rsid w:val="00F61684"/>
    <w:rsid w:val="00F61EAB"/>
    <w:rsid w:val="00F66B72"/>
    <w:rsid w:val="00F7280C"/>
    <w:rsid w:val="00F83A02"/>
    <w:rsid w:val="00F8774A"/>
    <w:rsid w:val="00F87855"/>
    <w:rsid w:val="00F935B8"/>
    <w:rsid w:val="00F94111"/>
    <w:rsid w:val="00F973AF"/>
    <w:rsid w:val="00FA5C57"/>
    <w:rsid w:val="00FB1096"/>
    <w:rsid w:val="00FB1175"/>
    <w:rsid w:val="00FE2A30"/>
    <w:rsid w:val="00FF3C9B"/>
    <w:rsid w:val="00FF4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7"/>
    <o:shapelayout v:ext="edit">
      <o:idmap v:ext="edit" data="1"/>
    </o:shapelayout>
  </w:shapeDefaults>
  <w:decimalSymbol w:val="."/>
  <w:listSeparator w:val=","/>
  <w14:docId w14:val="79518290"/>
  <w15:docId w15:val="{0A89935D-7CB4-4BAB-9EB6-A6E56048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05FB9"/>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9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993"/>
    <w:rPr>
      <w:rFonts w:ascii="Tahoma" w:hAnsi="Tahoma" w:cs="Tahoma"/>
      <w:sz w:val="16"/>
      <w:szCs w:val="16"/>
    </w:rPr>
  </w:style>
  <w:style w:type="paragraph" w:styleId="ListParagraph">
    <w:name w:val="List Paragraph"/>
    <w:basedOn w:val="Normal"/>
    <w:uiPriority w:val="34"/>
    <w:qFormat/>
    <w:rsid w:val="002B35E0"/>
    <w:pPr>
      <w:ind w:left="720"/>
      <w:contextualSpacing/>
    </w:pPr>
  </w:style>
  <w:style w:type="paragraph" w:styleId="FootnoteText">
    <w:name w:val="footnote text"/>
    <w:basedOn w:val="Normal"/>
    <w:link w:val="FootnoteTextChar"/>
    <w:uiPriority w:val="99"/>
    <w:semiHidden/>
    <w:unhideWhenUsed/>
    <w:rsid w:val="00C2425C"/>
    <w:pPr>
      <w:spacing w:line="240" w:lineRule="auto"/>
    </w:pPr>
    <w:rPr>
      <w:sz w:val="20"/>
      <w:szCs w:val="20"/>
    </w:rPr>
  </w:style>
  <w:style w:type="character" w:customStyle="1" w:styleId="FootnoteTextChar">
    <w:name w:val="Footnote Text Char"/>
    <w:basedOn w:val="DefaultParagraphFont"/>
    <w:link w:val="FootnoteText"/>
    <w:uiPriority w:val="99"/>
    <w:semiHidden/>
    <w:rsid w:val="00C2425C"/>
    <w:rPr>
      <w:sz w:val="20"/>
      <w:szCs w:val="20"/>
    </w:rPr>
  </w:style>
  <w:style w:type="character" w:styleId="FootnoteReference">
    <w:name w:val="footnote reference"/>
    <w:basedOn w:val="DefaultParagraphFont"/>
    <w:uiPriority w:val="99"/>
    <w:semiHidden/>
    <w:unhideWhenUsed/>
    <w:rsid w:val="00C2425C"/>
    <w:rPr>
      <w:vertAlign w:val="superscript"/>
    </w:rPr>
  </w:style>
  <w:style w:type="character" w:styleId="CommentReference">
    <w:name w:val="annotation reference"/>
    <w:basedOn w:val="DefaultParagraphFont"/>
    <w:uiPriority w:val="99"/>
    <w:semiHidden/>
    <w:unhideWhenUsed/>
    <w:rsid w:val="00A30C76"/>
    <w:rPr>
      <w:sz w:val="16"/>
      <w:szCs w:val="16"/>
    </w:rPr>
  </w:style>
  <w:style w:type="paragraph" w:styleId="CommentText">
    <w:name w:val="annotation text"/>
    <w:basedOn w:val="Normal"/>
    <w:link w:val="CommentTextChar"/>
    <w:uiPriority w:val="99"/>
    <w:semiHidden/>
    <w:unhideWhenUsed/>
    <w:rsid w:val="00A30C76"/>
    <w:pPr>
      <w:spacing w:line="240" w:lineRule="auto"/>
    </w:pPr>
    <w:rPr>
      <w:sz w:val="20"/>
      <w:szCs w:val="20"/>
    </w:rPr>
  </w:style>
  <w:style w:type="character" w:customStyle="1" w:styleId="CommentTextChar">
    <w:name w:val="Comment Text Char"/>
    <w:basedOn w:val="DefaultParagraphFont"/>
    <w:link w:val="CommentText"/>
    <w:uiPriority w:val="99"/>
    <w:semiHidden/>
    <w:rsid w:val="00A30C76"/>
    <w:rPr>
      <w:sz w:val="20"/>
      <w:szCs w:val="20"/>
    </w:rPr>
  </w:style>
  <w:style w:type="paragraph" w:styleId="CommentSubject">
    <w:name w:val="annotation subject"/>
    <w:basedOn w:val="CommentText"/>
    <w:next w:val="CommentText"/>
    <w:link w:val="CommentSubjectChar"/>
    <w:uiPriority w:val="99"/>
    <w:semiHidden/>
    <w:unhideWhenUsed/>
    <w:rsid w:val="00A30C76"/>
    <w:rPr>
      <w:b/>
      <w:bCs/>
    </w:rPr>
  </w:style>
  <w:style w:type="character" w:customStyle="1" w:styleId="CommentSubjectChar">
    <w:name w:val="Comment Subject Char"/>
    <w:basedOn w:val="CommentTextChar"/>
    <w:link w:val="CommentSubject"/>
    <w:uiPriority w:val="99"/>
    <w:semiHidden/>
    <w:rsid w:val="00A30C76"/>
    <w:rPr>
      <w:b/>
      <w:bCs/>
      <w:sz w:val="20"/>
      <w:szCs w:val="20"/>
    </w:rPr>
  </w:style>
  <w:style w:type="paragraph" w:styleId="Revision">
    <w:name w:val="Revision"/>
    <w:hidden/>
    <w:uiPriority w:val="99"/>
    <w:semiHidden/>
    <w:rsid w:val="00A3452C"/>
    <w:pPr>
      <w:spacing w:after="0" w:line="240" w:lineRule="auto"/>
    </w:pPr>
  </w:style>
  <w:style w:type="paragraph" w:styleId="Header">
    <w:name w:val="header"/>
    <w:basedOn w:val="Normal"/>
    <w:link w:val="HeaderChar"/>
    <w:uiPriority w:val="99"/>
    <w:unhideWhenUsed/>
    <w:rsid w:val="005A0321"/>
    <w:pPr>
      <w:tabs>
        <w:tab w:val="center" w:pos="4513"/>
        <w:tab w:val="right" w:pos="9026"/>
      </w:tabs>
      <w:spacing w:line="240" w:lineRule="auto"/>
    </w:pPr>
  </w:style>
  <w:style w:type="character" w:customStyle="1" w:styleId="HeaderChar">
    <w:name w:val="Header Char"/>
    <w:basedOn w:val="DefaultParagraphFont"/>
    <w:link w:val="Header"/>
    <w:uiPriority w:val="99"/>
    <w:rsid w:val="005A0321"/>
  </w:style>
  <w:style w:type="paragraph" w:styleId="Footer">
    <w:name w:val="footer"/>
    <w:basedOn w:val="Normal"/>
    <w:link w:val="FooterChar"/>
    <w:uiPriority w:val="99"/>
    <w:unhideWhenUsed/>
    <w:rsid w:val="005A0321"/>
    <w:pPr>
      <w:tabs>
        <w:tab w:val="center" w:pos="4513"/>
        <w:tab w:val="right" w:pos="9026"/>
      </w:tabs>
      <w:spacing w:line="240" w:lineRule="auto"/>
    </w:pPr>
  </w:style>
  <w:style w:type="character" w:customStyle="1" w:styleId="FooterChar">
    <w:name w:val="Footer Char"/>
    <w:basedOn w:val="DefaultParagraphFont"/>
    <w:link w:val="Footer"/>
    <w:uiPriority w:val="99"/>
    <w:rsid w:val="005A0321"/>
  </w:style>
  <w:style w:type="character" w:styleId="Hyperlink">
    <w:name w:val="Hyperlink"/>
    <w:basedOn w:val="DefaultParagraphFont"/>
    <w:uiPriority w:val="99"/>
    <w:unhideWhenUsed/>
    <w:rsid w:val="00E369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5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63D2-D11B-473C-89CA-FE9C7435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Winterbottom , Geoffrey</dc:creator>
  <cp:lastModifiedBy>Winterbottom , Geoff (PRINCIPAL RESEARCH OFFICER)</cp:lastModifiedBy>
  <cp:revision>6</cp:revision>
  <cp:lastPrinted>2020-01-14T09:45:00Z</cp:lastPrinted>
  <dcterms:created xsi:type="dcterms:W3CDTF">2021-01-13T14:40:00Z</dcterms:created>
  <dcterms:modified xsi:type="dcterms:W3CDTF">2021-01-15T15:17:00Z</dcterms:modified>
</cp:coreProperties>
</file>