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2E9F7" w14:textId="77777777" w:rsidR="00534804" w:rsidRPr="00E871B9" w:rsidRDefault="000F37AA" w:rsidP="00534804">
      <w:pPr>
        <w:rPr>
          <w:rFonts w:cs="Arial"/>
          <w:sz w:val="20"/>
          <w:szCs w:val="20"/>
        </w:rPr>
      </w:pPr>
      <w:r>
        <w:rPr>
          <w:noProof/>
          <w:lang w:eastAsia="en-GB"/>
        </w:rPr>
        <w:drawing>
          <wp:anchor distT="0" distB="0" distL="114300" distR="114300" simplePos="0" relativeHeight="251659264" behindDoc="0" locked="0" layoutInCell="1" allowOverlap="1" wp14:anchorId="72780B17" wp14:editId="024E6F77">
            <wp:simplePos x="0" y="0"/>
            <wp:positionH relativeFrom="column">
              <wp:posOffset>2265045</wp:posOffset>
            </wp:positionH>
            <wp:positionV relativeFrom="paragraph">
              <wp:posOffset>-569595</wp:posOffset>
            </wp:positionV>
            <wp:extent cx="1430655" cy="10363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OMA small.jpg"/>
                    <pic:cNvPicPr/>
                  </pic:nvPicPr>
                  <pic:blipFill>
                    <a:blip r:embed="rId8">
                      <a:extLst>
                        <a:ext uri="{28A0092B-C50C-407E-A947-70E740481C1C}">
                          <a14:useLocalDpi xmlns:a14="http://schemas.microsoft.com/office/drawing/2010/main" val="0"/>
                        </a:ext>
                      </a:extLst>
                    </a:blip>
                    <a:stretch>
                      <a:fillRect/>
                    </a:stretch>
                  </pic:blipFill>
                  <pic:spPr>
                    <a:xfrm>
                      <a:off x="0" y="0"/>
                      <a:ext cx="1430655" cy="1036320"/>
                    </a:xfrm>
                    <a:prstGeom prst="rect">
                      <a:avLst/>
                    </a:prstGeom>
                  </pic:spPr>
                </pic:pic>
              </a:graphicData>
            </a:graphic>
            <wp14:sizeRelH relativeFrom="page">
              <wp14:pctWidth>0</wp14:pctWidth>
            </wp14:sizeRelH>
            <wp14:sizeRelV relativeFrom="page">
              <wp14:pctHeight>0</wp14:pctHeight>
            </wp14:sizeRelV>
          </wp:anchor>
        </w:drawing>
      </w:r>
    </w:p>
    <w:p w14:paraId="31F66700" w14:textId="77777777" w:rsidR="00534804" w:rsidRDefault="00534804" w:rsidP="00534804">
      <w:pPr>
        <w:rPr>
          <w:rFonts w:cs="Arial"/>
          <w:sz w:val="20"/>
          <w:szCs w:val="20"/>
        </w:rPr>
      </w:pPr>
    </w:p>
    <w:p w14:paraId="54DA334E" w14:textId="77777777" w:rsidR="00B94C6E" w:rsidRDefault="00534804" w:rsidP="000F37AA">
      <w:pPr>
        <w:tabs>
          <w:tab w:val="left" w:pos="3890"/>
        </w:tabs>
        <w:rPr>
          <w:sz w:val="28"/>
          <w:szCs w:val="28"/>
        </w:rPr>
      </w:pPr>
      <w:r>
        <w:rPr>
          <w:rFonts w:cs="Arial"/>
          <w:sz w:val="20"/>
          <w:szCs w:val="20"/>
        </w:rPr>
        <w:tab/>
      </w:r>
    </w:p>
    <w:p w14:paraId="51EF1C0A" w14:textId="77777777" w:rsidR="00B94C6E" w:rsidRPr="004850BB" w:rsidRDefault="00534804" w:rsidP="00B94C6E">
      <w:pPr>
        <w:pStyle w:val="Header"/>
        <w:jc w:val="center"/>
        <w:rPr>
          <w:rFonts w:cs="Arial"/>
          <w:sz w:val="16"/>
          <w:szCs w:val="16"/>
        </w:rPr>
      </w:pPr>
      <w:r>
        <w:rPr>
          <w:rFonts w:cs="Arial"/>
          <w:sz w:val="16"/>
          <w:szCs w:val="16"/>
        </w:rPr>
        <w:t xml:space="preserve">   </w:t>
      </w:r>
      <w:r w:rsidR="00B94C6E" w:rsidRPr="004850BB">
        <w:rPr>
          <w:rFonts w:cs="Arial"/>
          <w:sz w:val="16"/>
          <w:szCs w:val="16"/>
        </w:rPr>
        <w:t>The Special Interest Group of Municipal Authorities (Outside London)</w:t>
      </w:r>
    </w:p>
    <w:p w14:paraId="5D138A44" w14:textId="77777777" w:rsidR="00534804" w:rsidRPr="000F37AA" w:rsidRDefault="00534804" w:rsidP="000F37AA">
      <w:pPr>
        <w:tabs>
          <w:tab w:val="left" w:pos="426"/>
        </w:tabs>
        <w:rPr>
          <w:b/>
          <w:sz w:val="16"/>
          <w:szCs w:val="16"/>
        </w:rPr>
      </w:pPr>
    </w:p>
    <w:p w14:paraId="51AC3C5A" w14:textId="578D026F" w:rsidR="004B36BA" w:rsidRDefault="00534804" w:rsidP="00534804">
      <w:pPr>
        <w:tabs>
          <w:tab w:val="left" w:pos="426"/>
        </w:tabs>
        <w:jc w:val="center"/>
        <w:rPr>
          <w:b/>
          <w:sz w:val="28"/>
          <w:szCs w:val="28"/>
        </w:rPr>
      </w:pPr>
      <w:r w:rsidRPr="00534804">
        <w:rPr>
          <w:b/>
          <w:sz w:val="28"/>
          <w:szCs w:val="28"/>
        </w:rPr>
        <w:t>SIG</w:t>
      </w:r>
      <w:r w:rsidR="00623026">
        <w:rPr>
          <w:b/>
          <w:sz w:val="28"/>
          <w:szCs w:val="28"/>
        </w:rPr>
        <w:t xml:space="preserve">OMA RESPONSE TO THE </w:t>
      </w:r>
      <w:r w:rsidR="008F79A9">
        <w:rPr>
          <w:b/>
          <w:sz w:val="28"/>
          <w:szCs w:val="28"/>
        </w:rPr>
        <w:t>PROVISIONAL LOCAL GOVERNMENT FINANCE SETTLEMENT</w:t>
      </w:r>
    </w:p>
    <w:p w14:paraId="579426E1" w14:textId="77777777" w:rsidR="00534804" w:rsidRPr="000F37AA" w:rsidRDefault="00534804" w:rsidP="00534804">
      <w:pPr>
        <w:tabs>
          <w:tab w:val="left" w:pos="426"/>
        </w:tabs>
        <w:jc w:val="center"/>
        <w:rPr>
          <w:b/>
          <w:sz w:val="16"/>
          <w:szCs w:val="16"/>
        </w:rPr>
      </w:pPr>
    </w:p>
    <w:p w14:paraId="69A46BF0" w14:textId="77777777" w:rsidR="004B36BA" w:rsidRPr="001D10D3" w:rsidRDefault="004B36BA" w:rsidP="001D10D3">
      <w:pPr>
        <w:pStyle w:val="ListParagraph"/>
        <w:numPr>
          <w:ilvl w:val="0"/>
          <w:numId w:val="3"/>
        </w:numPr>
        <w:tabs>
          <w:tab w:val="left" w:pos="426"/>
        </w:tabs>
        <w:spacing w:line="240" w:lineRule="auto"/>
        <w:ind w:left="0" w:firstLine="0"/>
        <w:rPr>
          <w:b/>
        </w:rPr>
      </w:pPr>
      <w:r w:rsidRPr="001D10D3">
        <w:rPr>
          <w:b/>
        </w:rPr>
        <w:t>About SIGOMA</w:t>
      </w:r>
    </w:p>
    <w:p w14:paraId="63CDCD19" w14:textId="77777777" w:rsidR="004B36BA" w:rsidRPr="003809DB" w:rsidRDefault="004B36BA" w:rsidP="001D10D3">
      <w:pPr>
        <w:pStyle w:val="ListParagraph"/>
        <w:numPr>
          <w:ilvl w:val="1"/>
          <w:numId w:val="3"/>
        </w:numPr>
        <w:tabs>
          <w:tab w:val="left" w:pos="426"/>
        </w:tabs>
        <w:spacing w:line="240" w:lineRule="auto"/>
        <w:ind w:left="0" w:firstLine="0"/>
      </w:pPr>
      <w:r w:rsidRPr="003809DB">
        <w:t>This submission is made on behalf of SIGOMA, the Special Interest Group of Municipal Authorities</w:t>
      </w:r>
      <w:r>
        <w:t>.</w:t>
      </w:r>
      <w:r w:rsidR="00983336">
        <w:t xml:space="preserve"> We welcome the opportunity to respond to the consultation.</w:t>
      </w:r>
    </w:p>
    <w:p w14:paraId="69421C09" w14:textId="77777777" w:rsidR="004B36BA" w:rsidRPr="003809DB" w:rsidRDefault="004B36BA" w:rsidP="00A02BEC">
      <w:pPr>
        <w:tabs>
          <w:tab w:val="left" w:pos="426"/>
        </w:tabs>
      </w:pPr>
    </w:p>
    <w:p w14:paraId="589DCAD7" w14:textId="2C1B2E76" w:rsidR="00276448" w:rsidRDefault="004B36BA" w:rsidP="00702592">
      <w:pPr>
        <w:pStyle w:val="ListParagraph"/>
        <w:numPr>
          <w:ilvl w:val="1"/>
          <w:numId w:val="3"/>
        </w:numPr>
        <w:tabs>
          <w:tab w:val="left" w:pos="426"/>
        </w:tabs>
        <w:spacing w:line="240" w:lineRule="auto"/>
        <w:ind w:left="0" w:firstLine="0"/>
      </w:pPr>
      <w:r w:rsidRPr="003809DB">
        <w:t>SIGOMA is a special inter</w:t>
      </w:r>
      <w:r w:rsidR="00427114">
        <w:t>est group (within the LGA) representing</w:t>
      </w:r>
      <w:r w:rsidR="00F94111">
        <w:t xml:space="preserve"> 47</w:t>
      </w:r>
      <w:r w:rsidRPr="003809DB">
        <w:t xml:space="preserve"> l</w:t>
      </w:r>
      <w:r w:rsidR="00427114">
        <w:t xml:space="preserve">ocal authorities covering key urban areas in the North </w:t>
      </w:r>
      <w:r w:rsidR="00784FED">
        <w:t>West,</w:t>
      </w:r>
      <w:r w:rsidRPr="003809DB">
        <w:t xml:space="preserve"> </w:t>
      </w:r>
      <w:r w:rsidR="00427114">
        <w:t>East and West M</w:t>
      </w:r>
      <w:r w:rsidRPr="003809DB">
        <w:t>idland</w:t>
      </w:r>
      <w:r w:rsidR="00427114">
        <w:t>s, the North East, Y</w:t>
      </w:r>
      <w:r w:rsidR="00BA46D9">
        <w:t>orkshire &amp;</w:t>
      </w:r>
      <w:r w:rsidR="00427114">
        <w:t xml:space="preserve"> Humberside and the South-</w:t>
      </w:r>
      <w:r w:rsidR="00784FED">
        <w:t>coast;</w:t>
      </w:r>
      <w:r w:rsidRPr="003809DB">
        <w:t xml:space="preserve"> consisting of </w:t>
      </w:r>
      <w:r w:rsidR="00F94111">
        <w:t>33</w:t>
      </w:r>
      <w:r>
        <w:t xml:space="preserve"> metropolitan districts and 14</w:t>
      </w:r>
      <w:r w:rsidRPr="003809DB">
        <w:t xml:space="preserve"> major unitary authorities.</w:t>
      </w:r>
      <w:r w:rsidR="00276448">
        <w:t xml:space="preserve"> </w:t>
      </w:r>
    </w:p>
    <w:p w14:paraId="387B9284" w14:textId="77777777" w:rsidR="00276448" w:rsidRDefault="00276448" w:rsidP="00276448">
      <w:pPr>
        <w:pStyle w:val="ListParagraph"/>
      </w:pPr>
    </w:p>
    <w:p w14:paraId="70E40A54" w14:textId="21AB8930" w:rsidR="006606CC" w:rsidRDefault="00276448" w:rsidP="00702592">
      <w:pPr>
        <w:pStyle w:val="ListParagraph"/>
        <w:numPr>
          <w:ilvl w:val="1"/>
          <w:numId w:val="3"/>
        </w:numPr>
        <w:tabs>
          <w:tab w:val="left" w:pos="426"/>
        </w:tabs>
        <w:spacing w:line="240" w:lineRule="auto"/>
        <w:ind w:left="0" w:firstLine="0"/>
      </w:pPr>
      <w:r>
        <w:t>In demographic profile SIGOMA councils comprise 6.1 million households, over 25% of England’s total</w:t>
      </w:r>
      <w:r>
        <w:rPr>
          <w:rStyle w:val="FootnoteReference"/>
        </w:rPr>
        <w:footnoteReference w:id="1"/>
      </w:r>
      <w:r>
        <w:t xml:space="preserve"> but are </w:t>
      </w:r>
      <w:r w:rsidR="00784FED">
        <w:t>over-represented</w:t>
      </w:r>
      <w:r>
        <w:t xml:space="preserve"> in poverty indicators and the related demand for services </w:t>
      </w:r>
      <w:r w:rsidR="00E57A5C">
        <w:t>whilst</w:t>
      </w:r>
      <w:r>
        <w:t xml:space="preserve"> at the same time under</w:t>
      </w:r>
      <w:r w:rsidR="00784FED">
        <w:t>-</w:t>
      </w:r>
      <w:r>
        <w:t xml:space="preserve">represented in terms of council tax and business rate earnings, </w:t>
      </w:r>
      <w:r w:rsidR="006A60B8">
        <w:t xml:space="preserve">which are </w:t>
      </w:r>
      <w:r>
        <w:t>increasingly i</w:t>
      </w:r>
      <w:r w:rsidR="002C4C8F">
        <w:t>nfluential</w:t>
      </w:r>
      <w:r>
        <w:t xml:space="preserve"> in the funding framework for local government</w:t>
      </w:r>
    </w:p>
    <w:p w14:paraId="78C645A4" w14:textId="77777777" w:rsidR="00E57A5C" w:rsidRDefault="00E57A5C" w:rsidP="00E57A5C">
      <w:pPr>
        <w:pStyle w:val="ListParagraph"/>
      </w:pPr>
    </w:p>
    <w:p w14:paraId="71CCDCBE" w14:textId="2C69593B" w:rsidR="002C4C8F" w:rsidRPr="008F79A9" w:rsidRDefault="00F973AF" w:rsidP="005B264D">
      <w:pPr>
        <w:pStyle w:val="ListParagraph"/>
        <w:numPr>
          <w:ilvl w:val="0"/>
          <w:numId w:val="3"/>
        </w:numPr>
        <w:tabs>
          <w:tab w:val="left" w:pos="426"/>
        </w:tabs>
        <w:spacing w:line="240" w:lineRule="auto"/>
      </w:pPr>
      <w:r w:rsidRPr="008F79A9">
        <w:rPr>
          <w:b/>
          <w:bCs/>
        </w:rPr>
        <w:t xml:space="preserve">Q1: </w:t>
      </w:r>
      <w:r w:rsidR="008F79A9" w:rsidRPr="008F79A9">
        <w:rPr>
          <w:b/>
          <w:bCs/>
        </w:rPr>
        <w:t xml:space="preserve">Do you agree with the Government’s proposed methodology for the distribution of Revenue Support Grant in 2021-22? </w:t>
      </w:r>
    </w:p>
    <w:p w14:paraId="6090E41B" w14:textId="77777777" w:rsidR="008F79A9" w:rsidRDefault="008F79A9" w:rsidP="008F79A9">
      <w:pPr>
        <w:pStyle w:val="ListParagraph"/>
        <w:tabs>
          <w:tab w:val="left" w:pos="426"/>
        </w:tabs>
        <w:spacing w:line="240" w:lineRule="auto"/>
        <w:ind w:left="360"/>
      </w:pPr>
    </w:p>
    <w:p w14:paraId="4183DC8E" w14:textId="7955F787" w:rsidR="00726D18" w:rsidRDefault="00726D18" w:rsidP="00702592">
      <w:pPr>
        <w:pStyle w:val="ListParagraph"/>
        <w:numPr>
          <w:ilvl w:val="1"/>
          <w:numId w:val="3"/>
        </w:numPr>
        <w:tabs>
          <w:tab w:val="left" w:pos="426"/>
        </w:tabs>
        <w:spacing w:line="240" w:lineRule="auto"/>
        <w:ind w:left="0" w:firstLine="0"/>
      </w:pPr>
      <w:r>
        <w:t>Since MHCLG include Settlement Funding within this part of the consultation we also include Settlement Funding within our comments</w:t>
      </w:r>
      <w:r w:rsidR="00B7435E">
        <w:t>. We cannot agree for the reasons below.</w:t>
      </w:r>
    </w:p>
    <w:p w14:paraId="0A782E68" w14:textId="77777777" w:rsidR="00726D18" w:rsidRDefault="00726D18" w:rsidP="00726D18">
      <w:pPr>
        <w:pStyle w:val="ListParagraph"/>
        <w:tabs>
          <w:tab w:val="left" w:pos="426"/>
        </w:tabs>
        <w:spacing w:line="240" w:lineRule="auto"/>
        <w:ind w:left="0"/>
      </w:pPr>
    </w:p>
    <w:p w14:paraId="3311A1F4" w14:textId="36152228" w:rsidR="00726D18" w:rsidRDefault="00726D18" w:rsidP="00702592">
      <w:pPr>
        <w:pStyle w:val="ListParagraph"/>
        <w:numPr>
          <w:ilvl w:val="1"/>
          <w:numId w:val="3"/>
        </w:numPr>
        <w:tabs>
          <w:tab w:val="left" w:pos="426"/>
        </w:tabs>
        <w:spacing w:line="240" w:lineRule="auto"/>
        <w:ind w:left="0" w:firstLine="0"/>
      </w:pPr>
      <w:r>
        <w:t>The whole of core spending</w:t>
      </w:r>
      <w:r w:rsidR="00AC34AB">
        <w:t xml:space="preserve"> power</w:t>
      </w:r>
      <w:r>
        <w:t xml:space="preserve"> comprising council tax, settlement funding and various grants, is better than many councils had feared in the context of the financial crisis </w:t>
      </w:r>
      <w:r w:rsidR="00D86D26">
        <w:t xml:space="preserve">precipitated by covid, </w:t>
      </w:r>
      <w:r>
        <w:t xml:space="preserve">but very far from that which would have been hoped for at the beginning of </w:t>
      </w:r>
      <w:r w:rsidR="00D86D26">
        <w:t>2020</w:t>
      </w:r>
      <w:r w:rsidR="00F00FE5">
        <w:t xml:space="preserve"> </w:t>
      </w:r>
      <w:r w:rsidR="006A60B8">
        <w:t>in terms of distribution.</w:t>
      </w:r>
    </w:p>
    <w:p w14:paraId="4400BD91" w14:textId="77777777" w:rsidR="00AC34AB" w:rsidRDefault="00AC34AB" w:rsidP="00AC34AB">
      <w:pPr>
        <w:pStyle w:val="ListParagraph"/>
      </w:pPr>
    </w:p>
    <w:p w14:paraId="69B4467B" w14:textId="49407A28" w:rsidR="00AC34AB" w:rsidRDefault="00AC34AB" w:rsidP="00702592">
      <w:pPr>
        <w:pStyle w:val="ListParagraph"/>
        <w:numPr>
          <w:ilvl w:val="1"/>
          <w:numId w:val="3"/>
        </w:numPr>
        <w:tabs>
          <w:tab w:val="left" w:pos="426"/>
        </w:tabs>
        <w:spacing w:line="240" w:lineRule="auto"/>
        <w:ind w:left="0" w:firstLine="0"/>
      </w:pPr>
      <w:r>
        <w:t>The continuation of business rate growth retention is now having a hugely distorting effect that is rendering the Core Spending Power figure itself meaningless and is not being redressed within Revenue Support Grant.</w:t>
      </w:r>
    </w:p>
    <w:p w14:paraId="60DAAE80" w14:textId="77777777" w:rsidR="00AC34AB" w:rsidRDefault="00AC34AB" w:rsidP="00AC34AB">
      <w:pPr>
        <w:pStyle w:val="ListParagraph"/>
      </w:pPr>
    </w:p>
    <w:p w14:paraId="499B2B58" w14:textId="5C1A5902" w:rsidR="00AC34AB" w:rsidRDefault="00AC34AB" w:rsidP="00702592">
      <w:pPr>
        <w:pStyle w:val="ListParagraph"/>
        <w:numPr>
          <w:ilvl w:val="1"/>
          <w:numId w:val="3"/>
        </w:numPr>
        <w:tabs>
          <w:tab w:val="left" w:pos="426"/>
        </w:tabs>
        <w:spacing w:line="240" w:lineRule="auto"/>
        <w:ind w:left="0" w:firstLine="0"/>
      </w:pPr>
      <w:r>
        <w:t>For 2018-19 MHCLG made their own projection of growth above baseline for which the England total was £1.4 billion</w:t>
      </w:r>
      <w:r w:rsidR="004E453B">
        <w:t xml:space="preserve">. We have produced our own estimate </w:t>
      </w:r>
      <w:r w:rsidR="00F92D7C">
        <w:t>of the equivalent</w:t>
      </w:r>
      <w:r w:rsidR="00F92D7C">
        <w:rPr>
          <w:rStyle w:val="FootnoteReference"/>
        </w:rPr>
        <w:footnoteReference w:id="2"/>
      </w:r>
      <w:r w:rsidR="00F92D7C">
        <w:t xml:space="preserve"> figure for 2020-21 which indicates growth above baseline of £1.9 billion</w:t>
      </w:r>
      <w:r w:rsidR="0018313F">
        <w:t>.</w:t>
      </w:r>
    </w:p>
    <w:p w14:paraId="2B45CC8D" w14:textId="77777777" w:rsidR="0018313F" w:rsidRDefault="0018313F" w:rsidP="0018313F">
      <w:pPr>
        <w:pStyle w:val="ListParagraph"/>
      </w:pPr>
    </w:p>
    <w:p w14:paraId="1BDD006D" w14:textId="0C578826" w:rsidR="001765E4" w:rsidRDefault="0018313F" w:rsidP="00702592">
      <w:pPr>
        <w:pStyle w:val="ListParagraph"/>
        <w:numPr>
          <w:ilvl w:val="1"/>
          <w:numId w:val="3"/>
        </w:numPr>
        <w:tabs>
          <w:tab w:val="left" w:pos="426"/>
        </w:tabs>
        <w:spacing w:line="240" w:lineRule="auto"/>
        <w:ind w:left="0" w:firstLine="0"/>
      </w:pPr>
      <w:r w:rsidRPr="0018313F">
        <w:t>This growth of nearly £2 billion was not reported in Core Spending Power nor, now, will it be recorded in 2021-22 yet it represents an additional 3.9% of 2020-21 core spending power</w:t>
      </w:r>
      <w:r w:rsidR="00AA1FF3">
        <w:t xml:space="preserve"> overall</w:t>
      </w:r>
      <w:r w:rsidRPr="0018313F">
        <w:t>.</w:t>
      </w:r>
      <w:r>
        <w:t xml:space="preserve"> </w:t>
      </w:r>
    </w:p>
    <w:p w14:paraId="08661E0F" w14:textId="77777777" w:rsidR="001765E4" w:rsidRDefault="001765E4" w:rsidP="001765E4">
      <w:pPr>
        <w:pStyle w:val="ListParagraph"/>
      </w:pPr>
    </w:p>
    <w:p w14:paraId="06FF5098" w14:textId="28CF5AC2" w:rsidR="005A39E6" w:rsidRDefault="0018313F" w:rsidP="00702592">
      <w:pPr>
        <w:pStyle w:val="ListParagraph"/>
        <w:numPr>
          <w:ilvl w:val="1"/>
          <w:numId w:val="3"/>
        </w:numPr>
        <w:tabs>
          <w:tab w:val="left" w:pos="426"/>
        </w:tabs>
        <w:spacing w:line="240" w:lineRule="auto"/>
        <w:ind w:left="0" w:firstLine="0"/>
      </w:pPr>
      <w:r>
        <w:t xml:space="preserve">The distributional effect of this </w:t>
      </w:r>
      <w:r w:rsidR="001765E4">
        <w:t xml:space="preserve">un-recorded growth </w:t>
      </w:r>
      <w:r>
        <w:t>on authority relative funding is immense.</w:t>
      </w:r>
      <w:r w:rsidR="001765E4">
        <w:t xml:space="preserve"> The chart below shows the </w:t>
      </w:r>
      <w:r w:rsidR="00AA1FF3">
        <w:t>percentage</w:t>
      </w:r>
      <w:r w:rsidR="001765E4">
        <w:t xml:space="preserve"> of additional core spending power that the growth represents for comparable </w:t>
      </w:r>
      <w:r w:rsidR="005A39E6">
        <w:t xml:space="preserve">authorities </w:t>
      </w:r>
      <w:r w:rsidR="005A39E6">
        <w:rPr>
          <w:rStyle w:val="FootnoteReference"/>
        </w:rPr>
        <w:footnoteReference w:id="3"/>
      </w:r>
      <w:r w:rsidR="005A39E6">
        <w:t>.</w:t>
      </w:r>
    </w:p>
    <w:p w14:paraId="353AB3D9" w14:textId="77777777" w:rsidR="00AA1FF3" w:rsidRDefault="00AA1FF3" w:rsidP="00AA1FF3">
      <w:pPr>
        <w:pStyle w:val="ListParagraph"/>
      </w:pPr>
    </w:p>
    <w:p w14:paraId="0BC38A2C" w14:textId="6A5C5CF3" w:rsidR="005A39E6" w:rsidRPr="005A39E6" w:rsidRDefault="005A39E6" w:rsidP="005A39E6">
      <w:pPr>
        <w:rPr>
          <w:b/>
          <w:bCs/>
          <w:color w:val="365F91" w:themeColor="accent1" w:themeShade="BF"/>
        </w:rPr>
      </w:pPr>
      <w:bookmarkStart w:id="0" w:name="_Hlk61523243"/>
      <w:r w:rsidRPr="005A39E6">
        <w:rPr>
          <w:b/>
          <w:bCs/>
          <w:color w:val="365F91" w:themeColor="accent1" w:themeShade="BF"/>
        </w:rPr>
        <w:lastRenderedPageBreak/>
        <w:t>2020-21 Business Rate Growth as a percentage of Core Spending Power</w:t>
      </w:r>
    </w:p>
    <w:bookmarkEnd w:id="0"/>
    <w:p w14:paraId="7466CB9D" w14:textId="1653A1A9" w:rsidR="005A39E6" w:rsidRDefault="001D6B13" w:rsidP="005A39E6">
      <w:r>
        <w:rPr>
          <w:noProof/>
        </w:rPr>
        <w:drawing>
          <wp:inline distT="0" distB="0" distL="0" distR="0" wp14:anchorId="5D0FAFC4" wp14:editId="20EF0F02">
            <wp:extent cx="5076825" cy="2735250"/>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3511" cy="2755015"/>
                    </a:xfrm>
                    <a:prstGeom prst="rect">
                      <a:avLst/>
                    </a:prstGeom>
                    <a:noFill/>
                  </pic:spPr>
                </pic:pic>
              </a:graphicData>
            </a:graphic>
          </wp:inline>
        </w:drawing>
      </w:r>
    </w:p>
    <w:p w14:paraId="59585AE1" w14:textId="77777777" w:rsidR="005A39E6" w:rsidRDefault="005A39E6" w:rsidP="005A39E6"/>
    <w:p w14:paraId="79D59111" w14:textId="42773944" w:rsidR="0018313F" w:rsidRDefault="005A39E6" w:rsidP="00702592">
      <w:pPr>
        <w:pStyle w:val="ListParagraph"/>
        <w:numPr>
          <w:ilvl w:val="1"/>
          <w:numId w:val="3"/>
        </w:numPr>
        <w:tabs>
          <w:tab w:val="left" w:pos="426"/>
        </w:tabs>
        <w:spacing w:line="240" w:lineRule="auto"/>
        <w:ind w:left="0" w:firstLine="0"/>
      </w:pPr>
      <w:r>
        <w:t xml:space="preserve">The table illustrates how skewed the effect is against </w:t>
      </w:r>
      <w:r w:rsidR="009263D4">
        <w:t xml:space="preserve">the </w:t>
      </w:r>
      <w:r>
        <w:t>poorer councils we represent and supports our assertion that the huge majority of our members lose from this decision</w:t>
      </w:r>
      <w:r w:rsidR="009263D4">
        <w:t>. We estimate the loss to our members</w:t>
      </w:r>
      <w:r w:rsidR="009263D4">
        <w:rPr>
          <w:rStyle w:val="FootnoteReference"/>
        </w:rPr>
        <w:footnoteReference w:id="4"/>
      </w:r>
      <w:r w:rsidR="009263D4">
        <w:t xml:space="preserve"> in 2020-21 alone to be in the order of £225 million</w:t>
      </w:r>
      <w:r w:rsidR="00215E57">
        <w:t>.</w:t>
      </w:r>
    </w:p>
    <w:p w14:paraId="72DCB280" w14:textId="77777777" w:rsidR="00215E57" w:rsidRDefault="00215E57" w:rsidP="00215E57">
      <w:pPr>
        <w:pStyle w:val="ListParagraph"/>
        <w:tabs>
          <w:tab w:val="left" w:pos="426"/>
        </w:tabs>
        <w:spacing w:line="240" w:lineRule="auto"/>
        <w:ind w:left="0"/>
      </w:pPr>
    </w:p>
    <w:p w14:paraId="55553FA3" w14:textId="56ECCC78" w:rsidR="00215E57" w:rsidRDefault="00215E57" w:rsidP="00702592">
      <w:pPr>
        <w:pStyle w:val="ListParagraph"/>
        <w:numPr>
          <w:ilvl w:val="1"/>
          <w:numId w:val="3"/>
        </w:numPr>
        <w:tabs>
          <w:tab w:val="left" w:pos="426"/>
        </w:tabs>
        <w:spacing w:line="240" w:lineRule="auto"/>
        <w:ind w:left="0" w:firstLine="0"/>
      </w:pPr>
      <w:r>
        <w:t>This is the major disparity that should be the subject of loss compensation in RSG, not negative RSG or protecting zero % loss in core spending power in Lower Tier Service Grant</w:t>
      </w:r>
      <w:r w:rsidR="004924D9">
        <w:t>.</w:t>
      </w:r>
    </w:p>
    <w:p w14:paraId="6C819B73" w14:textId="77777777" w:rsidR="004924D9" w:rsidRDefault="004924D9" w:rsidP="004924D9">
      <w:pPr>
        <w:pStyle w:val="ListParagraph"/>
      </w:pPr>
    </w:p>
    <w:p w14:paraId="556D0955" w14:textId="66D11ED1" w:rsidR="004924D9" w:rsidRDefault="004924D9" w:rsidP="00702592">
      <w:pPr>
        <w:pStyle w:val="ListParagraph"/>
        <w:numPr>
          <w:ilvl w:val="1"/>
          <w:numId w:val="3"/>
        </w:numPr>
        <w:tabs>
          <w:tab w:val="left" w:pos="426"/>
        </w:tabs>
        <w:spacing w:line="240" w:lineRule="auto"/>
        <w:ind w:left="0" w:firstLine="0"/>
      </w:pPr>
      <w:r>
        <w:t>We will refer to this point again in later sections.</w:t>
      </w:r>
    </w:p>
    <w:p w14:paraId="305F0141" w14:textId="77777777" w:rsidR="002C4C8F" w:rsidRDefault="002C4C8F" w:rsidP="002C4C8F">
      <w:pPr>
        <w:pStyle w:val="ListParagraph"/>
      </w:pPr>
    </w:p>
    <w:p w14:paraId="33A4B21C" w14:textId="5135251B" w:rsidR="002C4C8F" w:rsidRPr="008F79A9" w:rsidRDefault="00DA3652" w:rsidP="00AB7D7F">
      <w:pPr>
        <w:pStyle w:val="ListParagraph"/>
        <w:numPr>
          <w:ilvl w:val="0"/>
          <w:numId w:val="3"/>
        </w:numPr>
        <w:tabs>
          <w:tab w:val="left" w:pos="426"/>
        </w:tabs>
        <w:spacing w:line="240" w:lineRule="auto"/>
      </w:pPr>
      <w:r w:rsidRPr="008F79A9">
        <w:rPr>
          <w:b/>
          <w:bCs/>
        </w:rPr>
        <w:t xml:space="preserve">Q2 </w:t>
      </w:r>
      <w:r w:rsidR="008F79A9" w:rsidRPr="008F79A9">
        <w:rPr>
          <w:b/>
          <w:bCs/>
        </w:rPr>
        <w:t>Do you agree with the proposed package of council tax referendum principles for 2021-22?</w:t>
      </w:r>
    </w:p>
    <w:p w14:paraId="7EDD69FA" w14:textId="77777777" w:rsidR="008F79A9" w:rsidRDefault="008F79A9" w:rsidP="008F79A9">
      <w:pPr>
        <w:pStyle w:val="ListParagraph"/>
        <w:tabs>
          <w:tab w:val="left" w:pos="426"/>
        </w:tabs>
        <w:spacing w:line="240" w:lineRule="auto"/>
        <w:ind w:left="360"/>
      </w:pPr>
    </w:p>
    <w:p w14:paraId="6754E829" w14:textId="08C479D8" w:rsidR="00B7435E" w:rsidRDefault="00B7435E" w:rsidP="00EC0BD1">
      <w:pPr>
        <w:pStyle w:val="ListParagraph"/>
        <w:numPr>
          <w:ilvl w:val="1"/>
          <w:numId w:val="3"/>
        </w:numPr>
        <w:tabs>
          <w:tab w:val="left" w:pos="426"/>
        </w:tabs>
        <w:spacing w:line="240" w:lineRule="auto"/>
        <w:ind w:left="0" w:firstLine="0"/>
      </w:pPr>
      <w:r>
        <w:t>No</w:t>
      </w:r>
    </w:p>
    <w:p w14:paraId="2D47D9DD" w14:textId="77777777" w:rsidR="00B7435E" w:rsidRDefault="00B7435E" w:rsidP="00B7435E">
      <w:pPr>
        <w:pStyle w:val="ListParagraph"/>
        <w:tabs>
          <w:tab w:val="left" w:pos="426"/>
        </w:tabs>
        <w:spacing w:line="240" w:lineRule="auto"/>
        <w:ind w:left="0"/>
      </w:pPr>
    </w:p>
    <w:p w14:paraId="58521AF7" w14:textId="748317F3" w:rsidR="002E077F" w:rsidRDefault="00B7435E" w:rsidP="00EC0BD1">
      <w:pPr>
        <w:pStyle w:val="ListParagraph"/>
        <w:numPr>
          <w:ilvl w:val="1"/>
          <w:numId w:val="3"/>
        </w:numPr>
        <w:tabs>
          <w:tab w:val="left" w:pos="426"/>
        </w:tabs>
        <w:spacing w:line="240" w:lineRule="auto"/>
        <w:ind w:left="0" w:firstLine="0"/>
      </w:pPr>
      <w:r>
        <w:t>O</w:t>
      </w:r>
      <w:r w:rsidR="002E077F">
        <w:t xml:space="preserve">ur members concur with the view of the LGA that increased reliance on council tax to fund the breadth of council services is both unfair to local </w:t>
      </w:r>
      <w:r w:rsidR="007B2A5E">
        <w:t>taxpayers and does not correlate with how the demand for services arises.</w:t>
      </w:r>
    </w:p>
    <w:p w14:paraId="06AC8B50" w14:textId="77777777" w:rsidR="007B2A5E" w:rsidRDefault="007B2A5E" w:rsidP="007B2A5E">
      <w:pPr>
        <w:pStyle w:val="ListParagraph"/>
        <w:tabs>
          <w:tab w:val="left" w:pos="426"/>
        </w:tabs>
        <w:spacing w:line="240" w:lineRule="auto"/>
        <w:ind w:left="0"/>
      </w:pPr>
    </w:p>
    <w:p w14:paraId="06DCEC49" w14:textId="6FF911DC" w:rsidR="007B2A5E" w:rsidRDefault="007B2A5E" w:rsidP="00EC0BD1">
      <w:pPr>
        <w:pStyle w:val="ListParagraph"/>
        <w:numPr>
          <w:ilvl w:val="1"/>
          <w:numId w:val="3"/>
        </w:numPr>
        <w:tabs>
          <w:tab w:val="left" w:pos="426"/>
        </w:tabs>
        <w:spacing w:line="240" w:lineRule="auto"/>
        <w:ind w:left="0" w:firstLine="0"/>
      </w:pPr>
      <w:r>
        <w:t xml:space="preserve">Of the 4.5% cash terms increase in core spending power 3.9% is made up of council </w:t>
      </w:r>
      <w:r w:rsidR="00140EC1">
        <w:t>tax increases (or 86% of the headline £2.2 billion increase).</w:t>
      </w:r>
    </w:p>
    <w:p w14:paraId="45B93084" w14:textId="77777777" w:rsidR="00140EC1" w:rsidRDefault="00140EC1" w:rsidP="00140EC1">
      <w:pPr>
        <w:pStyle w:val="ListParagraph"/>
      </w:pPr>
    </w:p>
    <w:p w14:paraId="412F1158" w14:textId="1C89B374" w:rsidR="00140EC1" w:rsidRDefault="00140EC1" w:rsidP="00EC0BD1">
      <w:pPr>
        <w:pStyle w:val="ListParagraph"/>
        <w:numPr>
          <w:ilvl w:val="1"/>
          <w:numId w:val="3"/>
        </w:numPr>
        <w:tabs>
          <w:tab w:val="left" w:pos="426"/>
        </w:tabs>
        <w:spacing w:line="240" w:lineRule="auto"/>
        <w:ind w:left="0" w:firstLine="0"/>
      </w:pPr>
      <w:r>
        <w:t xml:space="preserve">Since RSG is not being adjusted to reflect the greater </w:t>
      </w:r>
      <w:r w:rsidR="00530C0D">
        <w:t xml:space="preserve">core </w:t>
      </w:r>
      <w:r>
        <w:t>tax earning capacity of some councils compared to others</w:t>
      </w:r>
      <w:r w:rsidR="00E47BAD">
        <w:t>, funds are not being raised in proportion to need.</w:t>
      </w:r>
    </w:p>
    <w:p w14:paraId="2523B4CD" w14:textId="77777777" w:rsidR="00E47BAD" w:rsidRDefault="00E47BAD" w:rsidP="00E47BAD">
      <w:pPr>
        <w:pStyle w:val="ListParagraph"/>
      </w:pPr>
    </w:p>
    <w:p w14:paraId="11AFECFF" w14:textId="35D99194" w:rsidR="00E47BAD" w:rsidRDefault="00FC767F" w:rsidP="00EC0BD1">
      <w:pPr>
        <w:pStyle w:val="ListParagraph"/>
        <w:numPr>
          <w:ilvl w:val="1"/>
          <w:numId w:val="3"/>
        </w:numPr>
        <w:tabs>
          <w:tab w:val="left" w:pos="426"/>
        </w:tabs>
        <w:spacing w:line="240" w:lineRule="auto"/>
        <w:ind w:left="0" w:firstLine="0"/>
      </w:pPr>
      <w:r>
        <w:t>With respect to the Social Care Premium it is time that government ensured a needs</w:t>
      </w:r>
      <w:r w:rsidR="00530C0D">
        <w:t>-</w:t>
      </w:r>
      <w:r>
        <w:t>based distribution of the combined effect of the social care premia, social care grants and the improved better care fund for a consistent an</w:t>
      </w:r>
      <w:r w:rsidR="00AA1FF3">
        <w:t>d</w:t>
      </w:r>
      <w:r>
        <w:t xml:space="preserve"> logical distribution of funds</w:t>
      </w:r>
    </w:p>
    <w:p w14:paraId="33BFFE0C" w14:textId="77777777" w:rsidR="002C4C8F" w:rsidRDefault="002C4C8F" w:rsidP="002C4C8F">
      <w:pPr>
        <w:pStyle w:val="ListParagraph"/>
      </w:pPr>
    </w:p>
    <w:p w14:paraId="323DE3E1" w14:textId="1F7081A5" w:rsidR="002C4C8F" w:rsidRPr="00045305" w:rsidRDefault="00045305" w:rsidP="00045305">
      <w:pPr>
        <w:pStyle w:val="ListParagraph"/>
        <w:numPr>
          <w:ilvl w:val="0"/>
          <w:numId w:val="3"/>
        </w:numPr>
        <w:tabs>
          <w:tab w:val="left" w:pos="426"/>
        </w:tabs>
        <w:spacing w:line="240" w:lineRule="auto"/>
        <w:rPr>
          <w:b/>
          <w:bCs/>
        </w:rPr>
      </w:pPr>
      <w:r w:rsidRPr="00045305">
        <w:rPr>
          <w:b/>
          <w:bCs/>
        </w:rPr>
        <w:t xml:space="preserve">Q3: </w:t>
      </w:r>
      <w:r w:rsidR="008F79A9" w:rsidRPr="008F79A9">
        <w:rPr>
          <w:b/>
          <w:bCs/>
        </w:rPr>
        <w:t>Do you agree with the Government’s proposals for the Social Care Grant in 2021-22?</w:t>
      </w:r>
    </w:p>
    <w:p w14:paraId="5299A17F" w14:textId="77777777" w:rsidR="002C4C8F" w:rsidRDefault="002C4C8F" w:rsidP="002C4C8F">
      <w:pPr>
        <w:pStyle w:val="ListParagraph"/>
      </w:pPr>
    </w:p>
    <w:p w14:paraId="3DD39023" w14:textId="67E23F15" w:rsidR="00B7435E" w:rsidRDefault="00B7435E" w:rsidP="00265C00">
      <w:pPr>
        <w:pStyle w:val="ListParagraph"/>
        <w:numPr>
          <w:ilvl w:val="1"/>
          <w:numId w:val="3"/>
        </w:numPr>
        <w:tabs>
          <w:tab w:val="left" w:pos="426"/>
        </w:tabs>
        <w:spacing w:line="240" w:lineRule="auto"/>
        <w:ind w:left="0" w:firstLine="0"/>
      </w:pPr>
      <w:r>
        <w:t>The answer would be a qualified yes.</w:t>
      </w:r>
    </w:p>
    <w:p w14:paraId="57659865" w14:textId="784D6C39" w:rsidR="00276448" w:rsidRDefault="00B7435E" w:rsidP="00265C00">
      <w:pPr>
        <w:pStyle w:val="ListParagraph"/>
        <w:numPr>
          <w:ilvl w:val="1"/>
          <w:numId w:val="3"/>
        </w:numPr>
        <w:tabs>
          <w:tab w:val="left" w:pos="426"/>
        </w:tabs>
        <w:spacing w:line="240" w:lineRule="auto"/>
        <w:ind w:left="0" w:firstLine="0"/>
      </w:pPr>
      <w:r>
        <w:lastRenderedPageBreak/>
        <w:t>S</w:t>
      </w:r>
      <w:r w:rsidR="00530C0D">
        <w:t xml:space="preserve">ee </w:t>
      </w:r>
      <w:r w:rsidR="00033BB4">
        <w:t xml:space="preserve">also </w:t>
      </w:r>
      <w:r w:rsidR="00530C0D">
        <w:t>our response to question 2.</w:t>
      </w:r>
    </w:p>
    <w:p w14:paraId="354D0B57" w14:textId="77777777" w:rsidR="00530C0D" w:rsidRDefault="00530C0D" w:rsidP="00530C0D">
      <w:pPr>
        <w:pStyle w:val="ListParagraph"/>
        <w:tabs>
          <w:tab w:val="left" w:pos="426"/>
        </w:tabs>
        <w:spacing w:line="240" w:lineRule="auto"/>
        <w:ind w:left="0"/>
      </w:pPr>
    </w:p>
    <w:p w14:paraId="1A488EE8" w14:textId="63F2F70C" w:rsidR="00013526" w:rsidRDefault="00530C0D" w:rsidP="00314984">
      <w:pPr>
        <w:pStyle w:val="ListParagraph"/>
        <w:numPr>
          <w:ilvl w:val="1"/>
          <w:numId w:val="3"/>
        </w:numPr>
        <w:tabs>
          <w:tab w:val="left" w:pos="426"/>
        </w:tabs>
        <w:spacing w:line="240" w:lineRule="auto"/>
        <w:ind w:left="0" w:firstLine="0"/>
      </w:pPr>
      <w:r>
        <w:t xml:space="preserve">The allocation of the social care grant </w:t>
      </w:r>
      <w:r w:rsidR="00033BB4">
        <w:t xml:space="preserve">has been used to partially equalise the unequal effect of the social care precept which is welcome </w:t>
      </w:r>
    </w:p>
    <w:p w14:paraId="2E6F2B2C" w14:textId="77777777" w:rsidR="00013526" w:rsidRDefault="00013526" w:rsidP="00013526">
      <w:pPr>
        <w:pStyle w:val="ListParagraph"/>
        <w:tabs>
          <w:tab w:val="left" w:pos="426"/>
        </w:tabs>
        <w:spacing w:line="240" w:lineRule="auto"/>
        <w:ind w:left="0"/>
      </w:pPr>
    </w:p>
    <w:p w14:paraId="5A9C062F" w14:textId="7AFC604C" w:rsidR="00530C0D" w:rsidRDefault="00013526" w:rsidP="00265C00">
      <w:pPr>
        <w:pStyle w:val="ListParagraph"/>
        <w:numPr>
          <w:ilvl w:val="1"/>
          <w:numId w:val="3"/>
        </w:numPr>
        <w:tabs>
          <w:tab w:val="left" w:pos="426"/>
        </w:tabs>
        <w:spacing w:line="240" w:lineRule="auto"/>
        <w:ind w:left="0" w:firstLine="0"/>
      </w:pPr>
      <w:r>
        <w:t>M</w:t>
      </w:r>
      <w:r w:rsidR="00033BB4">
        <w:t>embers still feel</w:t>
      </w:r>
      <w:r>
        <w:t xml:space="preserve">, however, </w:t>
      </w:r>
      <w:r w:rsidR="00033BB4">
        <w:t xml:space="preserve"> that government should be clear about the priority of funding adult and children’s social care adequately</w:t>
      </w:r>
      <w:r>
        <w:t>,</w:t>
      </w:r>
      <w:r w:rsidR="00033BB4">
        <w:t xml:space="preserve"> in terms of overall funding</w:t>
      </w:r>
      <w:r w:rsidR="00AA1FF3">
        <w:t>,</w:t>
      </w:r>
      <w:r w:rsidR="00033BB4">
        <w:t xml:space="preserve"> as recommended by ADAS and </w:t>
      </w:r>
      <w:r w:rsidR="001046C2">
        <w:t>the LGA</w:t>
      </w:r>
      <w:r>
        <w:t>,</w:t>
      </w:r>
      <w:r w:rsidR="001046C2">
        <w:t xml:space="preserve"> and in a manner that distributes the 3 main funding streams of Social Care Precept, Social Care Grant and Better Care fund according to social care needs formula.</w:t>
      </w:r>
    </w:p>
    <w:p w14:paraId="6BC3C182" w14:textId="77777777" w:rsidR="00530C0D" w:rsidRDefault="00530C0D" w:rsidP="00530C0D">
      <w:pPr>
        <w:pStyle w:val="ListParagraph"/>
        <w:tabs>
          <w:tab w:val="left" w:pos="426"/>
        </w:tabs>
        <w:spacing w:line="240" w:lineRule="auto"/>
        <w:ind w:left="0"/>
      </w:pPr>
    </w:p>
    <w:p w14:paraId="776D3C76" w14:textId="72357A17" w:rsidR="005F023E" w:rsidRPr="005F023E" w:rsidRDefault="0035367A" w:rsidP="005F023E">
      <w:pPr>
        <w:pStyle w:val="ListParagraph"/>
        <w:numPr>
          <w:ilvl w:val="0"/>
          <w:numId w:val="3"/>
        </w:numPr>
        <w:tabs>
          <w:tab w:val="left" w:pos="426"/>
        </w:tabs>
        <w:spacing w:line="240" w:lineRule="auto"/>
        <w:rPr>
          <w:b/>
        </w:rPr>
      </w:pPr>
      <w:r>
        <w:rPr>
          <w:b/>
        </w:rPr>
        <w:t xml:space="preserve">Q4: </w:t>
      </w:r>
      <w:r w:rsidR="00851E15" w:rsidRPr="00851E15">
        <w:rPr>
          <w:b/>
        </w:rPr>
        <w:t>Do you agree with the Government’s proposals for iBCF in 2021-22?</w:t>
      </w:r>
    </w:p>
    <w:p w14:paraId="34B57620" w14:textId="77777777" w:rsidR="005F023E" w:rsidRDefault="005F023E" w:rsidP="005F023E">
      <w:pPr>
        <w:pStyle w:val="ListParagraph"/>
        <w:tabs>
          <w:tab w:val="left" w:pos="426"/>
        </w:tabs>
        <w:spacing w:line="240" w:lineRule="auto"/>
        <w:ind w:left="360"/>
      </w:pPr>
    </w:p>
    <w:p w14:paraId="0E6E81F0" w14:textId="285DE9B1" w:rsidR="001046C2" w:rsidRDefault="001046C2" w:rsidP="001046C2">
      <w:pPr>
        <w:pStyle w:val="ListParagraph"/>
        <w:numPr>
          <w:ilvl w:val="1"/>
          <w:numId w:val="3"/>
        </w:numPr>
        <w:tabs>
          <w:tab w:val="left" w:pos="426"/>
        </w:tabs>
        <w:spacing w:line="240" w:lineRule="auto"/>
        <w:ind w:left="0" w:firstLine="0"/>
      </w:pPr>
      <w:r>
        <w:t xml:space="preserve">See also answers to question </w:t>
      </w:r>
      <w:r w:rsidR="00AA1FF3">
        <w:t>2</w:t>
      </w:r>
      <w:r>
        <w:t xml:space="preserve"> and </w:t>
      </w:r>
      <w:r w:rsidR="00AA1FF3">
        <w:t>3</w:t>
      </w:r>
      <w:r>
        <w:t>.</w:t>
      </w:r>
    </w:p>
    <w:p w14:paraId="70972845" w14:textId="77777777" w:rsidR="001046C2" w:rsidRDefault="001046C2" w:rsidP="001046C2">
      <w:pPr>
        <w:pStyle w:val="ListParagraph"/>
        <w:tabs>
          <w:tab w:val="left" w:pos="426"/>
        </w:tabs>
        <w:spacing w:line="240" w:lineRule="auto"/>
        <w:ind w:left="0"/>
      </w:pPr>
    </w:p>
    <w:p w14:paraId="4FDE6EA6" w14:textId="40A98C20" w:rsidR="001046C2" w:rsidRDefault="001046C2" w:rsidP="001046C2">
      <w:pPr>
        <w:pStyle w:val="ListParagraph"/>
        <w:numPr>
          <w:ilvl w:val="1"/>
          <w:numId w:val="3"/>
        </w:numPr>
        <w:tabs>
          <w:tab w:val="left" w:pos="426"/>
        </w:tabs>
        <w:spacing w:line="240" w:lineRule="auto"/>
        <w:ind w:left="0" w:firstLine="0"/>
      </w:pPr>
      <w:r>
        <w:t>It is welcome that Better Care Funding is being sustained under current circumstance.</w:t>
      </w:r>
    </w:p>
    <w:p w14:paraId="55D39612" w14:textId="77777777" w:rsidR="001046C2" w:rsidRDefault="001046C2" w:rsidP="001046C2">
      <w:pPr>
        <w:pStyle w:val="ListParagraph"/>
      </w:pPr>
    </w:p>
    <w:p w14:paraId="741D72FD" w14:textId="161D3213" w:rsidR="001046C2" w:rsidRDefault="001046C2" w:rsidP="001046C2">
      <w:pPr>
        <w:pStyle w:val="ListParagraph"/>
        <w:numPr>
          <w:ilvl w:val="1"/>
          <w:numId w:val="3"/>
        </w:numPr>
        <w:tabs>
          <w:tab w:val="left" w:pos="426"/>
        </w:tabs>
        <w:spacing w:line="240" w:lineRule="auto"/>
        <w:ind w:left="0" w:firstLine="0"/>
      </w:pPr>
      <w:r>
        <w:t xml:space="preserve">It would be possible to ensure no losers in terms of core spending power </w:t>
      </w:r>
      <w:r w:rsidR="00DC26AE">
        <w:t>yet adjust IBCF to reflect updated adult social care premiums and social care grant over the life of better care</w:t>
      </w:r>
      <w:r w:rsidR="00013526">
        <w:t>,</w:t>
      </w:r>
      <w:r w:rsidR="00DC26AE">
        <w:t xml:space="preserve"> or at least in 2021-22.</w:t>
      </w:r>
    </w:p>
    <w:p w14:paraId="361F79F9" w14:textId="77777777" w:rsidR="001046C2" w:rsidRDefault="001046C2" w:rsidP="00DC26AE">
      <w:pPr>
        <w:pStyle w:val="ListParagraph"/>
        <w:tabs>
          <w:tab w:val="left" w:pos="426"/>
        </w:tabs>
        <w:spacing w:line="240" w:lineRule="auto"/>
        <w:ind w:left="360"/>
      </w:pPr>
    </w:p>
    <w:p w14:paraId="636C8BE7" w14:textId="63F7B190" w:rsidR="00E064AD" w:rsidRPr="007E69E4" w:rsidRDefault="00DC26AE" w:rsidP="007E69E4">
      <w:pPr>
        <w:pStyle w:val="ListParagraph"/>
        <w:numPr>
          <w:ilvl w:val="0"/>
          <w:numId w:val="3"/>
        </w:numPr>
        <w:tabs>
          <w:tab w:val="left" w:pos="426"/>
        </w:tabs>
        <w:spacing w:line="240" w:lineRule="auto"/>
        <w:rPr>
          <w:b/>
          <w:bCs/>
        </w:rPr>
      </w:pPr>
      <w:r>
        <w:rPr>
          <w:b/>
          <w:bCs/>
        </w:rPr>
        <w:t>Q</w:t>
      </w:r>
      <w:r w:rsidR="00851E15" w:rsidRPr="00851E15">
        <w:rPr>
          <w:b/>
          <w:bCs/>
        </w:rPr>
        <w:t>5: Do you agree with the Government’s proposals for New Homes Bonus in 2021-22</w:t>
      </w:r>
      <w:r w:rsidR="00851E15">
        <w:rPr>
          <w:b/>
          <w:bCs/>
        </w:rPr>
        <w:t>?</w:t>
      </w:r>
    </w:p>
    <w:p w14:paraId="33F47734" w14:textId="77777777" w:rsidR="00E064AD" w:rsidRDefault="00E064AD" w:rsidP="00E064AD">
      <w:pPr>
        <w:pStyle w:val="ListParagraph"/>
      </w:pPr>
    </w:p>
    <w:p w14:paraId="21D9B62E" w14:textId="1FCA8B9B" w:rsidR="00DC26AE" w:rsidRDefault="00DC26AE" w:rsidP="00633561">
      <w:pPr>
        <w:pStyle w:val="ListParagraph"/>
        <w:numPr>
          <w:ilvl w:val="1"/>
          <w:numId w:val="3"/>
        </w:numPr>
        <w:tabs>
          <w:tab w:val="left" w:pos="426"/>
        </w:tabs>
        <w:spacing w:line="240" w:lineRule="auto"/>
        <w:ind w:left="0" w:firstLine="0"/>
      </w:pPr>
      <w:r>
        <w:t xml:space="preserve">As we have explained </w:t>
      </w:r>
      <w:r w:rsidR="00ED72B4">
        <w:t>i</w:t>
      </w:r>
      <w:r>
        <w:t xml:space="preserve">n previous submissions. Our objection to new homes bonus is </w:t>
      </w:r>
      <w:r w:rsidR="00EE6C47">
        <w:t>n</w:t>
      </w:r>
      <w:r>
        <w:t>ot the bonus per se but the fact that it has been funded by RSG top-slice and has been growing whilst RSG reduced.</w:t>
      </w:r>
    </w:p>
    <w:p w14:paraId="299654CB" w14:textId="77777777" w:rsidR="00DC26AE" w:rsidRDefault="00DC26AE" w:rsidP="00DC26AE">
      <w:pPr>
        <w:pStyle w:val="ListParagraph"/>
        <w:tabs>
          <w:tab w:val="left" w:pos="426"/>
        </w:tabs>
        <w:spacing w:line="240" w:lineRule="auto"/>
        <w:ind w:left="0"/>
      </w:pPr>
    </w:p>
    <w:p w14:paraId="41B7382C" w14:textId="45E300D3" w:rsidR="00DC26AE" w:rsidRDefault="00EE6C47" w:rsidP="00EE6C47">
      <w:pPr>
        <w:pStyle w:val="ListParagraph"/>
        <w:numPr>
          <w:ilvl w:val="1"/>
          <w:numId w:val="3"/>
        </w:numPr>
        <w:tabs>
          <w:tab w:val="left" w:pos="426"/>
        </w:tabs>
        <w:spacing w:line="240" w:lineRule="auto"/>
        <w:ind w:left="0" w:firstLine="0"/>
      </w:pPr>
      <w:r>
        <w:t>To the extent that the proposals reduce New Homes Bonus, leading to increased RSG funding</w:t>
      </w:r>
      <w:r w:rsidR="00ED72B4">
        <w:t>,</w:t>
      </w:r>
      <w:r>
        <w:t xml:space="preserve"> Members support the proposal </w:t>
      </w:r>
      <w:r w:rsidR="00B7435E">
        <w:t xml:space="preserve">in this year, </w:t>
      </w:r>
      <w:r>
        <w:t xml:space="preserve">but with the added comment that they would prefer to see an alternative incentive </w:t>
      </w:r>
      <w:r w:rsidR="00ED72B4">
        <w:t>for</w:t>
      </w:r>
      <w:r>
        <w:t xml:space="preserve"> new build that was not finance</w:t>
      </w:r>
      <w:r w:rsidR="00ED72B4">
        <w:t>d</w:t>
      </w:r>
      <w:r>
        <w:t xml:space="preserve"> from settlement funding</w:t>
      </w:r>
      <w:r w:rsidR="00ED72B4">
        <w:t>,</w:t>
      </w:r>
      <w:r>
        <w:t xml:space="preserve"> but rather formed part of overall needs financing.</w:t>
      </w:r>
    </w:p>
    <w:p w14:paraId="09E063F6" w14:textId="77777777" w:rsidR="00394201" w:rsidRDefault="00394201" w:rsidP="00394201">
      <w:pPr>
        <w:pStyle w:val="ListParagraph"/>
      </w:pPr>
    </w:p>
    <w:p w14:paraId="524A5D0C" w14:textId="7EABA187" w:rsidR="00394201" w:rsidRDefault="00394201" w:rsidP="00EE6C47">
      <w:pPr>
        <w:pStyle w:val="ListParagraph"/>
        <w:numPr>
          <w:ilvl w:val="1"/>
          <w:numId w:val="3"/>
        </w:numPr>
        <w:tabs>
          <w:tab w:val="left" w:pos="426"/>
        </w:tabs>
        <w:spacing w:line="240" w:lineRule="auto"/>
        <w:ind w:left="0" w:firstLine="0"/>
      </w:pPr>
      <w:r>
        <w:t>We look forward to making these points in the promised review of NHB.</w:t>
      </w:r>
    </w:p>
    <w:p w14:paraId="5897885F" w14:textId="77777777" w:rsidR="00E064AD" w:rsidRDefault="00E064AD" w:rsidP="00E064AD">
      <w:pPr>
        <w:pStyle w:val="ListParagraph"/>
      </w:pPr>
    </w:p>
    <w:p w14:paraId="7DA0F575" w14:textId="1960C0F1" w:rsidR="00E064AD" w:rsidRPr="00851E15" w:rsidRDefault="00851E15" w:rsidP="00851E15">
      <w:pPr>
        <w:pStyle w:val="ListParagraph"/>
        <w:numPr>
          <w:ilvl w:val="0"/>
          <w:numId w:val="3"/>
        </w:numPr>
        <w:tabs>
          <w:tab w:val="left" w:pos="426"/>
        </w:tabs>
        <w:spacing w:line="240" w:lineRule="auto"/>
        <w:rPr>
          <w:b/>
          <w:bCs/>
        </w:rPr>
      </w:pPr>
      <w:r w:rsidRPr="00851E15">
        <w:rPr>
          <w:b/>
          <w:bCs/>
        </w:rPr>
        <w:t>Q6: Do you agree with the Government’s proposal for a new Lower Tier Services Grant, with a minimum funding floor so that no authority sees an annual reduction in Core Spending Power?</w:t>
      </w:r>
    </w:p>
    <w:p w14:paraId="55B2D4A4" w14:textId="77777777" w:rsidR="00E064AD" w:rsidRDefault="00E064AD" w:rsidP="00E064AD">
      <w:pPr>
        <w:pStyle w:val="ListParagraph"/>
      </w:pPr>
    </w:p>
    <w:p w14:paraId="0BF8E613" w14:textId="5A9027C1" w:rsidR="00B7435E" w:rsidRDefault="00B7435E" w:rsidP="00DE7411">
      <w:pPr>
        <w:pStyle w:val="ListParagraph"/>
        <w:numPr>
          <w:ilvl w:val="1"/>
          <w:numId w:val="3"/>
        </w:numPr>
        <w:tabs>
          <w:tab w:val="left" w:pos="426"/>
        </w:tabs>
        <w:spacing w:line="240" w:lineRule="auto"/>
        <w:ind w:left="0" w:firstLine="0"/>
      </w:pPr>
      <w:r>
        <w:t>On balance, the answer is no.</w:t>
      </w:r>
    </w:p>
    <w:p w14:paraId="023C5BF9" w14:textId="77777777" w:rsidR="00B7435E" w:rsidRDefault="00B7435E" w:rsidP="00B7435E">
      <w:pPr>
        <w:pStyle w:val="ListParagraph"/>
        <w:tabs>
          <w:tab w:val="left" w:pos="426"/>
        </w:tabs>
        <w:spacing w:line="240" w:lineRule="auto"/>
        <w:ind w:left="0"/>
      </w:pPr>
    </w:p>
    <w:p w14:paraId="71699875" w14:textId="30A38382" w:rsidR="009D1D19" w:rsidRDefault="00793811" w:rsidP="00DE7411">
      <w:pPr>
        <w:pStyle w:val="ListParagraph"/>
        <w:numPr>
          <w:ilvl w:val="1"/>
          <w:numId w:val="3"/>
        </w:numPr>
        <w:tabs>
          <w:tab w:val="left" w:pos="426"/>
        </w:tabs>
        <w:spacing w:line="240" w:lineRule="auto"/>
        <w:ind w:left="0" w:firstLine="0"/>
      </w:pPr>
      <w:r>
        <w:t xml:space="preserve"> key to protecting lower tier services is an adequate overall funding </w:t>
      </w:r>
      <w:r w:rsidR="00ED72B4">
        <w:t xml:space="preserve">package that encompasses critical care, preventative services and other services which, though not critical, underpin the fabric of communities and </w:t>
      </w:r>
      <w:r w:rsidR="00CF4227">
        <w:t>support quality of life</w:t>
      </w:r>
      <w:r w:rsidR="008330F4">
        <w:t>.</w:t>
      </w:r>
    </w:p>
    <w:p w14:paraId="71AF754D" w14:textId="77777777" w:rsidR="00EE6C47" w:rsidRDefault="00EE6C47" w:rsidP="00EE6C47">
      <w:pPr>
        <w:pStyle w:val="ListParagraph"/>
        <w:tabs>
          <w:tab w:val="left" w:pos="426"/>
        </w:tabs>
        <w:spacing w:line="240" w:lineRule="auto"/>
        <w:ind w:left="0"/>
      </w:pPr>
    </w:p>
    <w:p w14:paraId="7E86970A" w14:textId="6A96F6A0" w:rsidR="00EE6C47" w:rsidRDefault="008330F4" w:rsidP="00DE7411">
      <w:pPr>
        <w:pStyle w:val="ListParagraph"/>
        <w:numPr>
          <w:ilvl w:val="1"/>
          <w:numId w:val="3"/>
        </w:numPr>
        <w:tabs>
          <w:tab w:val="left" w:pos="426"/>
        </w:tabs>
        <w:spacing w:line="240" w:lineRule="auto"/>
        <w:ind w:left="0" w:firstLine="0"/>
      </w:pPr>
      <w:r>
        <w:t>We note that this grant has also been used to uplift councils who would otherwise have a negative reduction in core spending power.</w:t>
      </w:r>
    </w:p>
    <w:p w14:paraId="3EE16AEC" w14:textId="77777777" w:rsidR="00EE6C47" w:rsidRDefault="00EE6C47" w:rsidP="00EE6C47">
      <w:pPr>
        <w:pStyle w:val="ListParagraph"/>
      </w:pPr>
    </w:p>
    <w:p w14:paraId="64A8CDF1" w14:textId="4B18619C" w:rsidR="00EE6C47" w:rsidRDefault="008330F4" w:rsidP="00DE7411">
      <w:pPr>
        <w:pStyle w:val="ListParagraph"/>
        <w:numPr>
          <w:ilvl w:val="1"/>
          <w:numId w:val="3"/>
        </w:numPr>
        <w:tabs>
          <w:tab w:val="left" w:pos="426"/>
        </w:tabs>
        <w:spacing w:line="240" w:lineRule="auto"/>
        <w:ind w:left="0" w:firstLine="0"/>
      </w:pPr>
      <w:r>
        <w:t>We refer again to our comments in section 2</w:t>
      </w:r>
      <w:r w:rsidR="002F0084">
        <w:t>. The core spending power information is not an accurate measure of the relative funding of councils since it excludes business rates growth which should rightly have been redistributed on a needs basis at April 2020.</w:t>
      </w:r>
    </w:p>
    <w:p w14:paraId="28EFF14A" w14:textId="77777777" w:rsidR="00EE6C47" w:rsidRDefault="00EE6C47" w:rsidP="00EE6C47">
      <w:pPr>
        <w:pStyle w:val="ListParagraph"/>
      </w:pPr>
    </w:p>
    <w:p w14:paraId="74B6653C" w14:textId="10CC01F3" w:rsidR="00EE6C47" w:rsidRDefault="00EE6C47" w:rsidP="00DE7411">
      <w:pPr>
        <w:pStyle w:val="ListParagraph"/>
        <w:numPr>
          <w:ilvl w:val="1"/>
          <w:numId w:val="3"/>
        </w:numPr>
        <w:tabs>
          <w:tab w:val="left" w:pos="426"/>
        </w:tabs>
        <w:spacing w:line="240" w:lineRule="auto"/>
        <w:ind w:left="0" w:firstLine="0"/>
      </w:pPr>
      <w:r>
        <w:lastRenderedPageBreak/>
        <w:t>As</w:t>
      </w:r>
      <w:r w:rsidR="002F0084">
        <w:t xml:space="preserve"> we have shown, BR growth has disproportionately benefitted some councils in 20-21 and will no doubt do so again in 2021-22, many of those receiving CSP top-up are amongst the greatest beneficiaries</w:t>
      </w:r>
      <w:r w:rsidR="00394201">
        <w:t xml:space="preserve"> from BR growth</w:t>
      </w:r>
      <w:r w:rsidR="002F0084">
        <w:t>.</w:t>
      </w:r>
    </w:p>
    <w:p w14:paraId="34B36513" w14:textId="77777777" w:rsidR="00EE6C47" w:rsidRDefault="00EE6C47" w:rsidP="00EE6C47">
      <w:pPr>
        <w:pStyle w:val="ListParagraph"/>
      </w:pPr>
    </w:p>
    <w:p w14:paraId="52FCA0E5" w14:textId="6516722D" w:rsidR="00EE6C47" w:rsidRDefault="002F0084" w:rsidP="00DE7411">
      <w:pPr>
        <w:pStyle w:val="ListParagraph"/>
        <w:numPr>
          <w:ilvl w:val="1"/>
          <w:numId w:val="3"/>
        </w:numPr>
        <w:tabs>
          <w:tab w:val="left" w:pos="426"/>
        </w:tabs>
        <w:spacing w:line="240" w:lineRule="auto"/>
        <w:ind w:left="0" w:firstLine="0"/>
      </w:pPr>
      <w:r>
        <w:t xml:space="preserve">We therefore suggest that an indicative </w:t>
      </w:r>
      <w:r w:rsidR="00CF4227">
        <w:t>loss due to deferring re-set should be included in 2021-22 core spending power adjustment.</w:t>
      </w:r>
    </w:p>
    <w:p w14:paraId="3E4E8507" w14:textId="77777777" w:rsidR="00EE6C47" w:rsidRDefault="00EE6C47" w:rsidP="00EE6C47">
      <w:pPr>
        <w:pStyle w:val="ListParagraph"/>
      </w:pPr>
    </w:p>
    <w:p w14:paraId="5A6C4A03" w14:textId="77777777" w:rsidR="00EE6C47" w:rsidRDefault="00EE6C47" w:rsidP="00EE6C47">
      <w:pPr>
        <w:pStyle w:val="ListParagraph"/>
        <w:tabs>
          <w:tab w:val="left" w:pos="426"/>
        </w:tabs>
        <w:spacing w:line="240" w:lineRule="auto"/>
        <w:ind w:left="0"/>
      </w:pPr>
    </w:p>
    <w:p w14:paraId="1B5A472F" w14:textId="1D582867" w:rsidR="009D1D19" w:rsidRPr="00851E15" w:rsidRDefault="00851E15" w:rsidP="00851E15">
      <w:pPr>
        <w:pStyle w:val="ListParagraph"/>
        <w:numPr>
          <w:ilvl w:val="0"/>
          <w:numId w:val="3"/>
        </w:numPr>
        <w:tabs>
          <w:tab w:val="left" w:pos="426"/>
        </w:tabs>
        <w:spacing w:line="240" w:lineRule="auto"/>
        <w:rPr>
          <w:b/>
          <w:bCs/>
        </w:rPr>
      </w:pPr>
      <w:r w:rsidRPr="00851E15">
        <w:rPr>
          <w:b/>
          <w:bCs/>
        </w:rPr>
        <w:t>Q7: Do you agree with the Government’s proposals for Rural Services Delivery Grant in 2021-22?</w:t>
      </w:r>
    </w:p>
    <w:p w14:paraId="6244C832" w14:textId="77777777" w:rsidR="00851E15" w:rsidRDefault="00851E15" w:rsidP="00851E15">
      <w:pPr>
        <w:pStyle w:val="ListParagraph"/>
      </w:pPr>
    </w:p>
    <w:p w14:paraId="4EE5E32E" w14:textId="35D9A239" w:rsidR="00B7435E" w:rsidRDefault="00B7435E" w:rsidP="0035367A">
      <w:pPr>
        <w:pStyle w:val="ListParagraph"/>
        <w:numPr>
          <w:ilvl w:val="1"/>
          <w:numId w:val="3"/>
        </w:numPr>
        <w:tabs>
          <w:tab w:val="left" w:pos="426"/>
        </w:tabs>
        <w:spacing w:line="240" w:lineRule="auto"/>
        <w:ind w:left="0" w:firstLine="0"/>
      </w:pPr>
      <w:r>
        <w:t>No</w:t>
      </w:r>
    </w:p>
    <w:p w14:paraId="6A023816" w14:textId="77777777" w:rsidR="00B7435E" w:rsidRDefault="00B7435E" w:rsidP="00B7435E">
      <w:pPr>
        <w:pStyle w:val="ListParagraph"/>
        <w:tabs>
          <w:tab w:val="left" w:pos="426"/>
        </w:tabs>
        <w:spacing w:line="240" w:lineRule="auto"/>
        <w:ind w:left="0"/>
      </w:pPr>
    </w:p>
    <w:p w14:paraId="6E76E53A" w14:textId="7931254B" w:rsidR="00851E15" w:rsidRDefault="00B7435E" w:rsidP="0035367A">
      <w:pPr>
        <w:pStyle w:val="ListParagraph"/>
        <w:numPr>
          <w:ilvl w:val="1"/>
          <w:numId w:val="3"/>
        </w:numPr>
        <w:tabs>
          <w:tab w:val="left" w:pos="426"/>
        </w:tabs>
        <w:spacing w:line="240" w:lineRule="auto"/>
        <w:ind w:left="0" w:firstLine="0"/>
      </w:pPr>
      <w:r>
        <w:t>R</w:t>
      </w:r>
      <w:r w:rsidR="00E14B0F">
        <w:t xml:space="preserve">ural Services Grant has grown from £16 million since 2015-16 i.e. has grown by 530% when all of core spending power grows by just </w:t>
      </w:r>
      <w:r w:rsidR="00802942">
        <w:t xml:space="preserve">15% and Settlement Funding </w:t>
      </w:r>
      <w:r w:rsidR="00802942" w:rsidRPr="00802942">
        <w:rPr>
          <w:b/>
          <w:bCs/>
        </w:rPr>
        <w:t>declines</w:t>
      </w:r>
      <w:r w:rsidR="00802942">
        <w:t xml:space="preserve"> by 30%.</w:t>
      </w:r>
    </w:p>
    <w:p w14:paraId="57E3676A" w14:textId="77777777" w:rsidR="00802942" w:rsidRDefault="00802942" w:rsidP="00802942">
      <w:pPr>
        <w:pStyle w:val="ListParagraph"/>
        <w:tabs>
          <w:tab w:val="left" w:pos="426"/>
        </w:tabs>
        <w:spacing w:line="240" w:lineRule="auto"/>
        <w:ind w:left="0"/>
      </w:pPr>
    </w:p>
    <w:p w14:paraId="3E3826AB" w14:textId="3E059F7D" w:rsidR="00802942" w:rsidRDefault="00802942" w:rsidP="0035367A">
      <w:pPr>
        <w:pStyle w:val="ListParagraph"/>
        <w:numPr>
          <w:ilvl w:val="1"/>
          <w:numId w:val="3"/>
        </w:numPr>
        <w:tabs>
          <w:tab w:val="left" w:pos="426"/>
        </w:tabs>
        <w:spacing w:line="240" w:lineRule="auto"/>
        <w:ind w:left="0" w:firstLine="0"/>
      </w:pPr>
      <w:r>
        <w:t>In this context the increase is unsupportable.</w:t>
      </w:r>
    </w:p>
    <w:p w14:paraId="24C42837" w14:textId="77777777" w:rsidR="00851E15" w:rsidRDefault="00851E15" w:rsidP="00851E15">
      <w:pPr>
        <w:pStyle w:val="ListParagraph"/>
      </w:pPr>
    </w:p>
    <w:p w14:paraId="4B4B59E3" w14:textId="4623CCD0" w:rsidR="00851E15" w:rsidRPr="00851E15" w:rsidRDefault="00851E15" w:rsidP="00851E15">
      <w:pPr>
        <w:pStyle w:val="ListParagraph"/>
        <w:numPr>
          <w:ilvl w:val="0"/>
          <w:numId w:val="3"/>
        </w:numPr>
        <w:tabs>
          <w:tab w:val="left" w:pos="426"/>
        </w:tabs>
        <w:spacing w:line="240" w:lineRule="auto"/>
        <w:rPr>
          <w:b/>
          <w:bCs/>
        </w:rPr>
      </w:pPr>
      <w:r w:rsidRPr="00851E15">
        <w:rPr>
          <w:b/>
          <w:bCs/>
        </w:rPr>
        <w:t>Question 8: Do you have any comments on the Government’s plan not to publish Visible Lines?</w:t>
      </w:r>
    </w:p>
    <w:p w14:paraId="2C9424BF" w14:textId="77777777" w:rsidR="00851E15" w:rsidRDefault="00851E15" w:rsidP="00851E15">
      <w:pPr>
        <w:pStyle w:val="ListParagraph"/>
      </w:pPr>
    </w:p>
    <w:p w14:paraId="17E117F1" w14:textId="1954D4AA" w:rsidR="00B7435E" w:rsidRDefault="00B7435E" w:rsidP="0035367A">
      <w:pPr>
        <w:pStyle w:val="ListParagraph"/>
        <w:numPr>
          <w:ilvl w:val="1"/>
          <w:numId w:val="3"/>
        </w:numPr>
        <w:tabs>
          <w:tab w:val="left" w:pos="426"/>
        </w:tabs>
        <w:spacing w:line="240" w:lineRule="auto"/>
        <w:ind w:left="0" w:firstLine="0"/>
      </w:pPr>
      <w:r>
        <w:t>On balance, no.</w:t>
      </w:r>
    </w:p>
    <w:p w14:paraId="53FE3DC3" w14:textId="77777777" w:rsidR="00B7435E" w:rsidRDefault="00B7435E" w:rsidP="00B7435E">
      <w:pPr>
        <w:pStyle w:val="ListParagraph"/>
        <w:tabs>
          <w:tab w:val="left" w:pos="426"/>
        </w:tabs>
        <w:spacing w:line="240" w:lineRule="auto"/>
        <w:ind w:left="0"/>
      </w:pPr>
    </w:p>
    <w:p w14:paraId="3C6FEAEC" w14:textId="666F32E1" w:rsidR="00851E15" w:rsidRDefault="00B7435E" w:rsidP="0035367A">
      <w:pPr>
        <w:pStyle w:val="ListParagraph"/>
        <w:numPr>
          <w:ilvl w:val="1"/>
          <w:numId w:val="3"/>
        </w:numPr>
        <w:tabs>
          <w:tab w:val="left" w:pos="426"/>
        </w:tabs>
        <w:spacing w:line="240" w:lineRule="auto"/>
        <w:ind w:left="0" w:firstLine="0"/>
      </w:pPr>
      <w:r>
        <w:t>W</w:t>
      </w:r>
      <w:r w:rsidR="008E1984">
        <w:t>hilst this issue is not of primary importance to the average member the prevailing view is that until government undertakes a full spending review it would be appropriate to continue to publish visible lines.</w:t>
      </w:r>
    </w:p>
    <w:p w14:paraId="5708E53C" w14:textId="77777777" w:rsidR="008E1984" w:rsidRDefault="008E1984" w:rsidP="008E1984">
      <w:pPr>
        <w:pStyle w:val="ListParagraph"/>
        <w:tabs>
          <w:tab w:val="left" w:pos="426"/>
        </w:tabs>
        <w:spacing w:line="240" w:lineRule="auto"/>
        <w:ind w:left="0"/>
      </w:pPr>
    </w:p>
    <w:p w14:paraId="6CC487A8" w14:textId="3AC0108E" w:rsidR="008E1984" w:rsidRDefault="008E1984" w:rsidP="0035367A">
      <w:pPr>
        <w:pStyle w:val="ListParagraph"/>
        <w:numPr>
          <w:ilvl w:val="1"/>
          <w:numId w:val="3"/>
        </w:numPr>
        <w:tabs>
          <w:tab w:val="left" w:pos="426"/>
        </w:tabs>
        <w:spacing w:line="240" w:lineRule="auto"/>
        <w:ind w:left="0" w:firstLine="0"/>
      </w:pPr>
      <w:r>
        <w:t>Effectively the same funding policy is being continued and this should be capable of reconciliation to its sources until such time as a proper review tales place.</w:t>
      </w:r>
    </w:p>
    <w:p w14:paraId="64089423" w14:textId="77777777" w:rsidR="008E1984" w:rsidRDefault="008E1984" w:rsidP="008E1984">
      <w:pPr>
        <w:pStyle w:val="ListParagraph"/>
      </w:pPr>
    </w:p>
    <w:p w14:paraId="7547F17F" w14:textId="4ADEC311" w:rsidR="008E1984" w:rsidRDefault="008E1984" w:rsidP="0035367A">
      <w:pPr>
        <w:pStyle w:val="ListParagraph"/>
        <w:numPr>
          <w:ilvl w:val="1"/>
          <w:numId w:val="3"/>
        </w:numPr>
        <w:tabs>
          <w:tab w:val="left" w:pos="426"/>
        </w:tabs>
        <w:spacing w:line="240" w:lineRule="auto"/>
        <w:ind w:left="0" w:firstLine="0"/>
      </w:pPr>
      <w:r>
        <w:t xml:space="preserve">By the same token members feel that the core spending powers should differentiate between the different elements of council tax (at least </w:t>
      </w:r>
      <w:r w:rsidR="005A3A11">
        <w:t>social care precept and other)</w:t>
      </w:r>
    </w:p>
    <w:p w14:paraId="7445D885" w14:textId="77777777" w:rsidR="005A3A11" w:rsidRDefault="005A3A11" w:rsidP="005A3A11">
      <w:pPr>
        <w:pStyle w:val="ListParagraph"/>
      </w:pPr>
    </w:p>
    <w:p w14:paraId="5EEE3A77" w14:textId="1D48CD04" w:rsidR="005A3A11" w:rsidRDefault="00394201" w:rsidP="0035367A">
      <w:pPr>
        <w:pStyle w:val="ListParagraph"/>
        <w:numPr>
          <w:ilvl w:val="1"/>
          <w:numId w:val="3"/>
        </w:numPr>
        <w:tabs>
          <w:tab w:val="left" w:pos="426"/>
        </w:tabs>
        <w:spacing w:line="240" w:lineRule="auto"/>
        <w:ind w:left="0" w:firstLine="0"/>
      </w:pPr>
      <w:r>
        <w:t>Additionally,</w:t>
      </w:r>
      <w:r w:rsidR="005A3A11">
        <w:t xml:space="preserve"> members would like to see official published Business Rates Growth retention figures fo</w:t>
      </w:r>
      <w:r>
        <w:t>r</w:t>
      </w:r>
      <w:r w:rsidR="005A3A11">
        <w:t xml:space="preserve"> 2019-20, 2020-21 and</w:t>
      </w:r>
      <w:r>
        <w:t xml:space="preserve"> for</w:t>
      </w:r>
      <w:r w:rsidR="005A3A11">
        <w:t xml:space="preserve"> 2021-22 when available.</w:t>
      </w:r>
    </w:p>
    <w:p w14:paraId="6F2E1065" w14:textId="77777777" w:rsidR="00851E15" w:rsidRDefault="00851E15" w:rsidP="00851E15">
      <w:pPr>
        <w:pStyle w:val="ListParagraph"/>
      </w:pPr>
    </w:p>
    <w:p w14:paraId="0A9AC96D" w14:textId="7BEFEBCE" w:rsidR="00851E15" w:rsidRPr="00726D18" w:rsidRDefault="00851E15" w:rsidP="00851E15">
      <w:pPr>
        <w:pStyle w:val="ListParagraph"/>
        <w:numPr>
          <w:ilvl w:val="0"/>
          <w:numId w:val="3"/>
        </w:numPr>
        <w:tabs>
          <w:tab w:val="left" w:pos="426"/>
        </w:tabs>
        <w:spacing w:line="240" w:lineRule="auto"/>
        <w:rPr>
          <w:b/>
          <w:bCs/>
        </w:rPr>
      </w:pPr>
      <w:r w:rsidRPr="00726D18">
        <w:rPr>
          <w:b/>
          <w:bCs/>
        </w:rPr>
        <w:t>Question 9: Do you have any comments on the impact of the proposals for the 2021- 22 settlement outlined in this consultation document on persons who share a protected characteristic, and on the draft equality statement published alongside the consultation document?</w:t>
      </w:r>
    </w:p>
    <w:p w14:paraId="59337A68" w14:textId="77777777" w:rsidR="00851E15" w:rsidRDefault="00851E15" w:rsidP="00851E15">
      <w:pPr>
        <w:pStyle w:val="ListParagraph"/>
      </w:pPr>
    </w:p>
    <w:p w14:paraId="75BFC69D" w14:textId="61D2F63B" w:rsidR="00851E15" w:rsidRDefault="005A3A11" w:rsidP="0035367A">
      <w:pPr>
        <w:pStyle w:val="ListParagraph"/>
        <w:numPr>
          <w:ilvl w:val="1"/>
          <w:numId w:val="3"/>
        </w:numPr>
        <w:tabs>
          <w:tab w:val="left" w:pos="426"/>
        </w:tabs>
        <w:spacing w:line="240" w:lineRule="auto"/>
        <w:ind w:left="0" w:firstLine="0"/>
      </w:pPr>
      <w:r>
        <w:t xml:space="preserve">We repeat our previous comments that under-funding particularly of care services and a lack of coherent national policy on adults and </w:t>
      </w:r>
      <w:r w:rsidR="00B7435E">
        <w:t>children’s</w:t>
      </w:r>
      <w:bookmarkStart w:id="1" w:name="_GoBack"/>
      <w:bookmarkEnd w:id="1"/>
      <w:r>
        <w:t xml:space="preserve"> social care cannot but have a detrimental impact on some of the most vulnerable people in our community.</w:t>
      </w:r>
    </w:p>
    <w:p w14:paraId="2773C156" w14:textId="77777777" w:rsidR="00851E15" w:rsidRDefault="00851E15" w:rsidP="00851E15">
      <w:pPr>
        <w:pStyle w:val="ListParagraph"/>
      </w:pPr>
    </w:p>
    <w:p w14:paraId="1D036CDB" w14:textId="4606597E" w:rsidR="00851E15" w:rsidRDefault="00084B1E" w:rsidP="0035367A">
      <w:pPr>
        <w:pStyle w:val="ListParagraph"/>
        <w:numPr>
          <w:ilvl w:val="1"/>
          <w:numId w:val="3"/>
        </w:numPr>
        <w:tabs>
          <w:tab w:val="left" w:pos="426"/>
        </w:tabs>
        <w:spacing w:line="240" w:lineRule="auto"/>
        <w:ind w:left="0" w:firstLine="0"/>
      </w:pPr>
      <w:r>
        <w:t xml:space="preserve">The parlous state of adult social care is illustrated by a recent announcement </w:t>
      </w:r>
      <w:r w:rsidR="00B7435E">
        <w:t>by James</w:t>
      </w:r>
      <w:r>
        <w:t xml:space="preserve"> Bullion ADAS president</w:t>
      </w:r>
      <w:r w:rsidR="00394201">
        <w:t>:</w:t>
      </w:r>
    </w:p>
    <w:p w14:paraId="269E4F32" w14:textId="471D61D2" w:rsidR="00084B1E" w:rsidRDefault="00084B1E" w:rsidP="00084B1E">
      <w:pPr>
        <w:pStyle w:val="ListParagraph"/>
      </w:pPr>
    </w:p>
    <w:p w14:paraId="1089526E" w14:textId="39446D59" w:rsidR="00851E15" w:rsidRPr="00274CE3" w:rsidRDefault="00084B1E" w:rsidP="00851E15">
      <w:pPr>
        <w:pStyle w:val="ListParagraph"/>
        <w:rPr>
          <w:rFonts w:asciiTheme="minorHAnsi" w:hAnsiTheme="minorHAnsi" w:cstheme="minorHAnsi"/>
        </w:rPr>
      </w:pPr>
      <w:r w:rsidRPr="00274CE3">
        <w:rPr>
          <w:rStyle w:val="Emphasis"/>
          <w:rFonts w:asciiTheme="minorHAnsi" w:eastAsia="Times New Roman" w:hAnsiTheme="minorHAnsi" w:cstheme="minorHAnsi"/>
          <w:color w:val="404040"/>
          <w:sz w:val="24"/>
          <w:szCs w:val="24"/>
        </w:rPr>
        <w:t>“Like our NHS colleagues, social care workers have never been under such pressure. They are doing more than ever before, but absences are high and rising and our capacity to keep vital services going is at grave risk.</w:t>
      </w:r>
      <w:r w:rsidRPr="00274CE3">
        <w:rPr>
          <w:rFonts w:asciiTheme="minorHAnsi" w:eastAsia="Times New Roman" w:hAnsiTheme="minorHAnsi" w:cstheme="minorHAnsi"/>
          <w:color w:val="404040"/>
          <w:sz w:val="24"/>
          <w:szCs w:val="24"/>
        </w:rPr>
        <w:br/>
        <w:t> </w:t>
      </w:r>
      <w:r w:rsidRPr="00274CE3">
        <w:rPr>
          <w:rFonts w:asciiTheme="minorHAnsi" w:eastAsia="Times New Roman" w:hAnsiTheme="minorHAnsi" w:cstheme="minorHAnsi"/>
          <w:color w:val="404040"/>
          <w:sz w:val="24"/>
          <w:szCs w:val="24"/>
        </w:rPr>
        <w:br/>
      </w:r>
      <w:r w:rsidRPr="00274CE3">
        <w:rPr>
          <w:rStyle w:val="Emphasis"/>
          <w:rFonts w:asciiTheme="minorHAnsi" w:eastAsia="Times New Roman" w:hAnsiTheme="minorHAnsi" w:cstheme="minorHAnsi"/>
          <w:color w:val="404040"/>
          <w:sz w:val="24"/>
          <w:szCs w:val="24"/>
        </w:rPr>
        <w:lastRenderedPageBreak/>
        <w:t>“We need funding, now, to enable care providers to recruit extra skilled pairs of hands and we are asking anyone who has done care work in the past to think very seriously about returning to help us get through this. Every single person who steps forward will be making a huge contribution.”</w:t>
      </w:r>
      <w:r w:rsidRPr="00274CE3">
        <w:rPr>
          <w:rFonts w:asciiTheme="minorHAnsi" w:eastAsia="Times New Roman" w:hAnsiTheme="minorHAnsi" w:cstheme="minorHAnsi"/>
          <w:color w:val="404040"/>
          <w:sz w:val="24"/>
          <w:szCs w:val="24"/>
        </w:rPr>
        <w:br/>
      </w:r>
    </w:p>
    <w:p w14:paraId="090499B4" w14:textId="6D3FC352" w:rsidR="00851E15" w:rsidRDefault="00084B1E" w:rsidP="0035367A">
      <w:pPr>
        <w:pStyle w:val="ListParagraph"/>
        <w:numPr>
          <w:ilvl w:val="1"/>
          <w:numId w:val="3"/>
        </w:numPr>
        <w:tabs>
          <w:tab w:val="left" w:pos="426"/>
        </w:tabs>
        <w:spacing w:line="240" w:lineRule="auto"/>
        <w:ind w:left="0" w:firstLine="0"/>
      </w:pPr>
      <w:r>
        <w:t>Government have created a temporary stop gap by throwing money at the problem in 2020-21 but the impact of covid is clearly still with us and the underlying problems are not going away</w:t>
      </w:r>
    </w:p>
    <w:p w14:paraId="1EDE6033" w14:textId="77777777" w:rsidR="00851E15" w:rsidRDefault="00851E15" w:rsidP="00851E15">
      <w:pPr>
        <w:pStyle w:val="ListParagraph"/>
      </w:pPr>
    </w:p>
    <w:p w14:paraId="411D5F50" w14:textId="350623A0" w:rsidR="00851E15" w:rsidRDefault="00274CE3" w:rsidP="0035367A">
      <w:pPr>
        <w:pStyle w:val="ListParagraph"/>
        <w:numPr>
          <w:ilvl w:val="1"/>
          <w:numId w:val="3"/>
        </w:numPr>
        <w:tabs>
          <w:tab w:val="left" w:pos="426"/>
        </w:tabs>
        <w:spacing w:line="240" w:lineRule="auto"/>
        <w:ind w:left="0" w:firstLine="0"/>
      </w:pPr>
      <w:r>
        <w:t xml:space="preserve">The state of </w:t>
      </w:r>
      <w:r w:rsidR="00394201">
        <w:t>Children’s</w:t>
      </w:r>
      <w:r>
        <w:t>’ care is, if anything</w:t>
      </w:r>
      <w:r w:rsidR="00394201">
        <w:t>,</w:t>
      </w:r>
      <w:r>
        <w:t xml:space="preserve"> more perilous if only because it seems to be passing under Treasury radar as a problem</w:t>
      </w:r>
    </w:p>
    <w:p w14:paraId="658D530B" w14:textId="77777777" w:rsidR="00851E15" w:rsidRDefault="00851E15" w:rsidP="00851E15">
      <w:pPr>
        <w:pStyle w:val="ListParagraph"/>
      </w:pPr>
    </w:p>
    <w:p w14:paraId="40DFD223" w14:textId="7787221D" w:rsidR="00851E15" w:rsidRDefault="00394201" w:rsidP="0035367A">
      <w:pPr>
        <w:pStyle w:val="ListParagraph"/>
        <w:numPr>
          <w:ilvl w:val="1"/>
          <w:numId w:val="3"/>
        </w:numPr>
        <w:tabs>
          <w:tab w:val="left" w:pos="426"/>
        </w:tabs>
        <w:spacing w:line="240" w:lineRule="auto"/>
        <w:ind w:left="0" w:firstLine="0"/>
      </w:pPr>
      <w:r>
        <w:t>Again,</w:t>
      </w:r>
      <w:r w:rsidR="00274CE3">
        <w:t xml:space="preserve"> quoting the ADCS chair.</w:t>
      </w:r>
    </w:p>
    <w:p w14:paraId="2CBCD4A6" w14:textId="77777777" w:rsidR="00274CE3" w:rsidRDefault="00274CE3" w:rsidP="00274CE3">
      <w:pPr>
        <w:pStyle w:val="ListParagraph"/>
      </w:pPr>
    </w:p>
    <w:p w14:paraId="20CE7DCD" w14:textId="68A9EF01" w:rsidR="00274CE3" w:rsidRPr="00274CE3" w:rsidRDefault="00274CE3" w:rsidP="00274CE3">
      <w:pPr>
        <w:pStyle w:val="ListParagraph"/>
        <w:tabs>
          <w:tab w:val="left" w:pos="426"/>
        </w:tabs>
        <w:spacing w:line="240" w:lineRule="auto"/>
        <w:ind w:left="709"/>
        <w:rPr>
          <w:rFonts w:asciiTheme="minorHAnsi" w:hAnsiTheme="minorHAnsi" w:cstheme="minorHAnsi"/>
          <w:i/>
          <w:iCs/>
          <w:color w:val="808080" w:themeColor="background1" w:themeShade="80"/>
          <w:sz w:val="24"/>
          <w:szCs w:val="24"/>
        </w:rPr>
      </w:pPr>
      <w:r w:rsidRPr="00274CE3">
        <w:rPr>
          <w:rFonts w:asciiTheme="minorHAnsi" w:hAnsiTheme="minorHAnsi" w:cstheme="minorHAnsi"/>
          <w:i/>
          <w:iCs/>
          <w:color w:val="808080" w:themeColor="background1" w:themeShade="80"/>
          <w:sz w:val="24"/>
          <w:szCs w:val="24"/>
          <w:shd w:val="clear" w:color="auto" w:fill="FFFFFF"/>
        </w:rPr>
        <w:t>Poverty is not inevitable or ‘someone else’s problem’. There is not only a moral imperative for urgent government action but an economic imperative too: improving the circumstances in which children live today will support them to develop into well educated, well developed adults who actively contribute to society. Levelling up children’s life chances should be the cornerstone of the government’s ambition to ‘level up’ society.</w:t>
      </w:r>
      <w:r w:rsidR="006A60B8">
        <w:rPr>
          <w:rStyle w:val="FootnoteReference"/>
          <w:rFonts w:asciiTheme="minorHAnsi" w:hAnsiTheme="minorHAnsi" w:cstheme="minorHAnsi"/>
          <w:i/>
          <w:iCs/>
          <w:color w:val="808080" w:themeColor="background1" w:themeShade="80"/>
          <w:sz w:val="24"/>
          <w:szCs w:val="24"/>
          <w:shd w:val="clear" w:color="auto" w:fill="FFFFFF"/>
        </w:rPr>
        <w:footnoteReference w:id="5"/>
      </w:r>
    </w:p>
    <w:p w14:paraId="47EECA03" w14:textId="77777777" w:rsidR="00851E15" w:rsidRPr="00274CE3" w:rsidRDefault="00851E15" w:rsidP="00851E15">
      <w:pPr>
        <w:pStyle w:val="ListParagraph"/>
        <w:rPr>
          <w:rFonts w:asciiTheme="minorHAnsi" w:hAnsiTheme="minorHAnsi" w:cstheme="minorHAnsi"/>
          <w:i/>
          <w:iCs/>
          <w:color w:val="808080" w:themeColor="background1" w:themeShade="80"/>
        </w:rPr>
      </w:pPr>
    </w:p>
    <w:p w14:paraId="440BD5C1" w14:textId="6AAA397D" w:rsidR="00733DC3" w:rsidRDefault="00274CE3" w:rsidP="0035367A">
      <w:pPr>
        <w:pStyle w:val="ListParagraph"/>
        <w:numPr>
          <w:ilvl w:val="1"/>
          <w:numId w:val="3"/>
        </w:numPr>
        <w:tabs>
          <w:tab w:val="left" w:pos="426"/>
        </w:tabs>
        <w:spacing w:line="240" w:lineRule="auto"/>
        <w:ind w:left="0" w:firstLine="0"/>
      </w:pPr>
      <w:r>
        <w:t xml:space="preserve">Re-badging adult social care funding as </w:t>
      </w:r>
      <w:r w:rsidR="00733DC3">
        <w:t>“</w:t>
      </w:r>
      <w:r>
        <w:t xml:space="preserve">Adults and </w:t>
      </w:r>
      <w:r w:rsidR="00394201">
        <w:t>Children’s</w:t>
      </w:r>
      <w:r>
        <w:t xml:space="preserve"> care</w:t>
      </w:r>
      <w:r w:rsidR="00733DC3">
        <w:t>”</w:t>
      </w:r>
      <w:r>
        <w:t xml:space="preserve"> and leaving councils to chose between the two is an abrogation of responsibility </w:t>
      </w:r>
      <w:r w:rsidR="00733DC3">
        <w:t xml:space="preserve">by an administration that holds so much control over funding and the statutory framework. </w:t>
      </w:r>
    </w:p>
    <w:p w14:paraId="41694D57" w14:textId="77777777" w:rsidR="00733DC3" w:rsidRDefault="00733DC3" w:rsidP="00733DC3">
      <w:pPr>
        <w:pStyle w:val="ListParagraph"/>
        <w:tabs>
          <w:tab w:val="left" w:pos="426"/>
        </w:tabs>
        <w:spacing w:line="240" w:lineRule="auto"/>
        <w:ind w:left="0"/>
      </w:pPr>
    </w:p>
    <w:p w14:paraId="39853FD6" w14:textId="4DDE2792" w:rsidR="00851E15" w:rsidRDefault="00733DC3" w:rsidP="0035367A">
      <w:pPr>
        <w:pStyle w:val="ListParagraph"/>
        <w:numPr>
          <w:ilvl w:val="1"/>
          <w:numId w:val="3"/>
        </w:numPr>
        <w:tabs>
          <w:tab w:val="left" w:pos="426"/>
        </w:tabs>
        <w:spacing w:line="240" w:lineRule="auto"/>
        <w:ind w:left="0" w:firstLine="0"/>
      </w:pPr>
      <w:r>
        <w:t xml:space="preserve">In compiling the Fair Funding formula for </w:t>
      </w:r>
      <w:r w:rsidR="00394201">
        <w:t>children’s</w:t>
      </w:r>
      <w:r>
        <w:t xml:space="preserve"> services, government had a unique opportunity to assess the true cost of providing support to children and families</w:t>
      </w:r>
    </w:p>
    <w:p w14:paraId="14CC8A6C" w14:textId="77777777" w:rsidR="00851E15" w:rsidRDefault="00851E15" w:rsidP="00851E15">
      <w:pPr>
        <w:pStyle w:val="ListParagraph"/>
      </w:pPr>
    </w:p>
    <w:p w14:paraId="607F7586" w14:textId="46FCBB4A" w:rsidR="00851E15" w:rsidRDefault="00851E15" w:rsidP="0035367A">
      <w:pPr>
        <w:pStyle w:val="ListParagraph"/>
        <w:numPr>
          <w:ilvl w:val="1"/>
          <w:numId w:val="3"/>
        </w:numPr>
        <w:tabs>
          <w:tab w:val="left" w:pos="426"/>
        </w:tabs>
        <w:spacing w:line="240" w:lineRule="auto"/>
        <w:ind w:left="0" w:firstLine="0"/>
      </w:pPr>
      <w:r>
        <w:t>A</w:t>
      </w:r>
      <w:r w:rsidR="00733DC3">
        <w:t>s we have stated in our submission to Treasury on the Spending Review</w:t>
      </w:r>
      <w:r w:rsidR="006A60B8">
        <w:t>,</w:t>
      </w:r>
      <w:r w:rsidR="00733DC3">
        <w:t xml:space="preserve"> and</w:t>
      </w:r>
      <w:r w:rsidR="006A60B8">
        <w:t xml:space="preserve"> </w:t>
      </w:r>
      <w:r w:rsidR="00733DC3">
        <w:t>now the Budget,</w:t>
      </w:r>
      <w:r w:rsidR="006A60B8">
        <w:t xml:space="preserve"> there has been unprecedented interaction between local officers and leaders and Whitehall during covid. Government has a chance to build on this with a truly inclusive review of what is needed to support the elderly, vulnerable adults and children.</w:t>
      </w:r>
    </w:p>
    <w:sectPr w:rsidR="00851E15" w:rsidSect="000D701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709"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834C6" w14:textId="77777777" w:rsidR="00AA5EBB" w:rsidRDefault="00AA5EBB" w:rsidP="00C2425C">
      <w:pPr>
        <w:spacing w:line="240" w:lineRule="auto"/>
      </w:pPr>
      <w:r>
        <w:separator/>
      </w:r>
    </w:p>
  </w:endnote>
  <w:endnote w:type="continuationSeparator" w:id="0">
    <w:p w14:paraId="3F48AEEF" w14:textId="77777777" w:rsidR="00AA5EBB" w:rsidRDefault="00AA5EBB" w:rsidP="00C242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CDBB6" w14:textId="77777777" w:rsidR="00310A4A" w:rsidRDefault="00310A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0673692"/>
      <w:docPartObj>
        <w:docPartGallery w:val="Page Numbers (Bottom of Page)"/>
        <w:docPartUnique/>
      </w:docPartObj>
    </w:sdtPr>
    <w:sdtEndPr>
      <w:rPr>
        <w:color w:val="808080" w:themeColor="background1" w:themeShade="80"/>
        <w:spacing w:val="60"/>
      </w:rPr>
    </w:sdtEndPr>
    <w:sdtContent>
      <w:p w14:paraId="6F2DD781" w14:textId="77777777" w:rsidR="000D7012" w:rsidRDefault="000D701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57F9B" w:rsidRPr="00F57F9B">
          <w:rPr>
            <w:b/>
            <w:bCs/>
            <w:noProof/>
          </w:rPr>
          <w:t>8</w:t>
        </w:r>
        <w:r>
          <w:rPr>
            <w:b/>
            <w:bCs/>
            <w:noProof/>
          </w:rPr>
          <w:fldChar w:fldCharType="end"/>
        </w:r>
        <w:r>
          <w:rPr>
            <w:b/>
            <w:bCs/>
          </w:rPr>
          <w:t xml:space="preserve"> | </w:t>
        </w:r>
        <w:r>
          <w:rPr>
            <w:color w:val="808080" w:themeColor="background1" w:themeShade="80"/>
            <w:spacing w:val="60"/>
          </w:rPr>
          <w:t>Page</w:t>
        </w:r>
      </w:p>
    </w:sdtContent>
  </w:sdt>
  <w:p w14:paraId="4CB1613B" w14:textId="77777777" w:rsidR="000D7012" w:rsidRDefault="000D70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D60B8" w14:textId="77777777" w:rsidR="00310A4A" w:rsidRDefault="00310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9054E" w14:textId="77777777" w:rsidR="00AA5EBB" w:rsidRDefault="00AA5EBB" w:rsidP="00C2425C">
      <w:pPr>
        <w:spacing w:line="240" w:lineRule="auto"/>
      </w:pPr>
      <w:r>
        <w:separator/>
      </w:r>
    </w:p>
  </w:footnote>
  <w:footnote w:type="continuationSeparator" w:id="0">
    <w:p w14:paraId="7A56EEDA" w14:textId="77777777" w:rsidR="00AA5EBB" w:rsidRDefault="00AA5EBB" w:rsidP="00C2425C">
      <w:pPr>
        <w:spacing w:line="240" w:lineRule="auto"/>
      </w:pPr>
      <w:r>
        <w:continuationSeparator/>
      </w:r>
    </w:p>
  </w:footnote>
  <w:footnote w:id="1">
    <w:p w14:paraId="2635AB9B" w14:textId="77777777" w:rsidR="00276448" w:rsidRPr="00F263F1" w:rsidRDefault="00276448" w:rsidP="00276448">
      <w:pPr>
        <w:pStyle w:val="FootnoteText"/>
        <w:rPr>
          <w:sz w:val="18"/>
          <w:szCs w:val="18"/>
        </w:rPr>
      </w:pPr>
      <w:r w:rsidRPr="00F263F1">
        <w:rPr>
          <w:rStyle w:val="FootnoteReference"/>
          <w:sz w:val="18"/>
          <w:szCs w:val="18"/>
        </w:rPr>
        <w:footnoteRef/>
      </w:r>
      <w:r w:rsidRPr="00F263F1">
        <w:rPr>
          <w:sz w:val="18"/>
          <w:szCs w:val="18"/>
        </w:rPr>
        <w:t xml:space="preserve"> As recorded by MHCLG in their core spending power tables 2019-20</w:t>
      </w:r>
    </w:p>
  </w:footnote>
  <w:footnote w:id="2">
    <w:p w14:paraId="47FBFA10" w14:textId="6529EDB5" w:rsidR="00F92D7C" w:rsidRDefault="00F92D7C">
      <w:pPr>
        <w:pStyle w:val="FootnoteText"/>
      </w:pPr>
      <w:r>
        <w:rPr>
          <w:rStyle w:val="FootnoteReference"/>
        </w:rPr>
        <w:footnoteRef/>
      </w:r>
      <w:r>
        <w:t xml:space="preserve"> At 50% retention, excludes smaller s31 payments so is likely understated. Levy calculated at pool level</w:t>
      </w:r>
    </w:p>
  </w:footnote>
  <w:footnote w:id="3">
    <w:p w14:paraId="46825C59" w14:textId="77777777" w:rsidR="005A39E6" w:rsidRDefault="005A39E6" w:rsidP="005A39E6">
      <w:pPr>
        <w:pStyle w:val="FootnoteText"/>
      </w:pPr>
      <w:r>
        <w:rPr>
          <w:rStyle w:val="FootnoteReference"/>
        </w:rPr>
        <w:footnoteRef/>
      </w:r>
      <w:r>
        <w:t xml:space="preserve"> 319 councils, excludes fire; Due to changes in authority combinations some LAs are excluded</w:t>
      </w:r>
    </w:p>
  </w:footnote>
  <w:footnote w:id="4">
    <w:p w14:paraId="0DA14C7A" w14:textId="526E3555" w:rsidR="009263D4" w:rsidRDefault="009263D4">
      <w:pPr>
        <w:pStyle w:val="FootnoteText"/>
      </w:pPr>
      <w:r>
        <w:rPr>
          <w:rStyle w:val="FootnoteReference"/>
        </w:rPr>
        <w:footnoteRef/>
      </w:r>
      <w:r>
        <w:t xml:space="preserve"> Calculated by comparing local authority retained growth to a theoretical allocation of £1.9 billion based on settlement funding allocations. 41 out of 47 SIGOMA councils lose from this comparison</w:t>
      </w:r>
    </w:p>
  </w:footnote>
  <w:footnote w:id="5">
    <w:p w14:paraId="5A42F37F" w14:textId="2D22ED52" w:rsidR="006A60B8" w:rsidRDefault="006A60B8">
      <w:pPr>
        <w:pStyle w:val="FootnoteText"/>
      </w:pPr>
      <w:r>
        <w:rPr>
          <w:rStyle w:val="FootnoteReference"/>
        </w:rPr>
        <w:footnoteRef/>
      </w:r>
      <w:r>
        <w:t xml:space="preserve"> Jenny Coles ADCS president 23 October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664F6" w14:textId="77777777" w:rsidR="00310A4A" w:rsidRDefault="00310A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3190F" w14:textId="4387AE82" w:rsidR="00310A4A" w:rsidRDefault="00310A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E10BE" w14:textId="77777777" w:rsidR="00310A4A" w:rsidRDefault="00310A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2BE2"/>
    <w:multiLevelType w:val="hybridMultilevel"/>
    <w:tmpl w:val="3852F79A"/>
    <w:lvl w:ilvl="0" w:tplc="C02E34B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D506D"/>
    <w:multiLevelType w:val="hybridMultilevel"/>
    <w:tmpl w:val="7E5ADB36"/>
    <w:lvl w:ilvl="0" w:tplc="BBC8879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C66E9"/>
    <w:multiLevelType w:val="hybridMultilevel"/>
    <w:tmpl w:val="8E90C7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90448C"/>
    <w:multiLevelType w:val="multilevel"/>
    <w:tmpl w:val="0809001F"/>
    <w:lvl w:ilvl="0">
      <w:start w:val="1"/>
      <w:numFmt w:val="decimal"/>
      <w:lvlText w:val="%1."/>
      <w:lvlJc w:val="left"/>
      <w:pPr>
        <w:ind w:left="360" w:hanging="360"/>
      </w:pPr>
    </w:lvl>
    <w:lvl w:ilvl="1">
      <w:start w:val="1"/>
      <w:numFmt w:val="decimal"/>
      <w:lvlText w:val="%1.%2."/>
      <w:lvlJc w:val="left"/>
      <w:pPr>
        <w:ind w:left="284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8844C9"/>
    <w:multiLevelType w:val="hybridMultilevel"/>
    <w:tmpl w:val="1E76DD0A"/>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A4281D"/>
    <w:multiLevelType w:val="hybridMultilevel"/>
    <w:tmpl w:val="493CF5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3F2DC5"/>
    <w:multiLevelType w:val="hybridMultilevel"/>
    <w:tmpl w:val="592A17D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A666D9"/>
    <w:multiLevelType w:val="hybridMultilevel"/>
    <w:tmpl w:val="CDC6CC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C83ACA"/>
    <w:multiLevelType w:val="hybridMultilevel"/>
    <w:tmpl w:val="43F6AD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5E4287"/>
    <w:multiLevelType w:val="multilevel"/>
    <w:tmpl w:val="0809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A471C10"/>
    <w:multiLevelType w:val="hybridMultilevel"/>
    <w:tmpl w:val="70A287E2"/>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787D6C"/>
    <w:multiLevelType w:val="hybridMultilevel"/>
    <w:tmpl w:val="C3869468"/>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B265AD"/>
    <w:multiLevelType w:val="hybridMultilevel"/>
    <w:tmpl w:val="C6F8D2E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FD057D2"/>
    <w:multiLevelType w:val="hybridMultilevel"/>
    <w:tmpl w:val="F7F28078"/>
    <w:lvl w:ilvl="0" w:tplc="4E100E90">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9"/>
  </w:num>
  <w:num w:numId="3">
    <w:abstractNumId w:val="3"/>
  </w:num>
  <w:num w:numId="4">
    <w:abstractNumId w:val="2"/>
  </w:num>
  <w:num w:numId="5">
    <w:abstractNumId w:val="13"/>
  </w:num>
  <w:num w:numId="6">
    <w:abstractNumId w:val="1"/>
  </w:num>
  <w:num w:numId="7">
    <w:abstractNumId w:val="0"/>
  </w:num>
  <w:num w:numId="8">
    <w:abstractNumId w:val="6"/>
  </w:num>
  <w:num w:numId="9">
    <w:abstractNumId w:val="4"/>
  </w:num>
  <w:num w:numId="10">
    <w:abstractNumId w:val="10"/>
  </w:num>
  <w:num w:numId="11">
    <w:abstractNumId w:val="11"/>
  </w:num>
  <w:num w:numId="12">
    <w:abstractNumId w:val="7"/>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278"/>
    <w:rsid w:val="0000619F"/>
    <w:rsid w:val="00013526"/>
    <w:rsid w:val="000141E0"/>
    <w:rsid w:val="000208FA"/>
    <w:rsid w:val="00027764"/>
    <w:rsid w:val="00033BB4"/>
    <w:rsid w:val="00045305"/>
    <w:rsid w:val="00050418"/>
    <w:rsid w:val="00074C27"/>
    <w:rsid w:val="00083BFD"/>
    <w:rsid w:val="00084B1E"/>
    <w:rsid w:val="00092EC9"/>
    <w:rsid w:val="000A0527"/>
    <w:rsid w:val="000A2536"/>
    <w:rsid w:val="000A7EE4"/>
    <w:rsid w:val="000B11B6"/>
    <w:rsid w:val="000D4B46"/>
    <w:rsid w:val="000D7012"/>
    <w:rsid w:val="000E2DBA"/>
    <w:rsid w:val="000E5B6C"/>
    <w:rsid w:val="000E779E"/>
    <w:rsid w:val="000F17CC"/>
    <w:rsid w:val="000F37AA"/>
    <w:rsid w:val="000F57E2"/>
    <w:rsid w:val="001046C2"/>
    <w:rsid w:val="0010758D"/>
    <w:rsid w:val="00110213"/>
    <w:rsid w:val="00133B00"/>
    <w:rsid w:val="00135E34"/>
    <w:rsid w:val="00140EC1"/>
    <w:rsid w:val="0015007C"/>
    <w:rsid w:val="00162EA9"/>
    <w:rsid w:val="0016442C"/>
    <w:rsid w:val="00164E75"/>
    <w:rsid w:val="001764DE"/>
    <w:rsid w:val="001765E4"/>
    <w:rsid w:val="00177FDA"/>
    <w:rsid w:val="0018313F"/>
    <w:rsid w:val="001907F8"/>
    <w:rsid w:val="001B0DC6"/>
    <w:rsid w:val="001B201E"/>
    <w:rsid w:val="001B2706"/>
    <w:rsid w:val="001D066E"/>
    <w:rsid w:val="001D10D3"/>
    <w:rsid w:val="001D4A44"/>
    <w:rsid w:val="001D6B13"/>
    <w:rsid w:val="001E505A"/>
    <w:rsid w:val="001F1EA3"/>
    <w:rsid w:val="0021109C"/>
    <w:rsid w:val="00215E57"/>
    <w:rsid w:val="00217DDB"/>
    <w:rsid w:val="0023755F"/>
    <w:rsid w:val="00246CD6"/>
    <w:rsid w:val="00255353"/>
    <w:rsid w:val="00261B74"/>
    <w:rsid w:val="0026589F"/>
    <w:rsid w:val="00266278"/>
    <w:rsid w:val="00274CE3"/>
    <w:rsid w:val="00276448"/>
    <w:rsid w:val="00276E55"/>
    <w:rsid w:val="00280387"/>
    <w:rsid w:val="00280DB7"/>
    <w:rsid w:val="002853D8"/>
    <w:rsid w:val="00286C25"/>
    <w:rsid w:val="00292FFD"/>
    <w:rsid w:val="002A3594"/>
    <w:rsid w:val="002A60E7"/>
    <w:rsid w:val="002B2302"/>
    <w:rsid w:val="002B35E0"/>
    <w:rsid w:val="002C4C8F"/>
    <w:rsid w:val="002C6CD3"/>
    <w:rsid w:val="002D2042"/>
    <w:rsid w:val="002E077F"/>
    <w:rsid w:val="002E587F"/>
    <w:rsid w:val="002F0084"/>
    <w:rsid w:val="00310322"/>
    <w:rsid w:val="00310A4A"/>
    <w:rsid w:val="00315D98"/>
    <w:rsid w:val="00320D3F"/>
    <w:rsid w:val="00351AE6"/>
    <w:rsid w:val="00352E8E"/>
    <w:rsid w:val="0035367A"/>
    <w:rsid w:val="00353AB9"/>
    <w:rsid w:val="003578F7"/>
    <w:rsid w:val="00365F4F"/>
    <w:rsid w:val="00376416"/>
    <w:rsid w:val="0038361C"/>
    <w:rsid w:val="00394201"/>
    <w:rsid w:val="003970E5"/>
    <w:rsid w:val="003A1B6E"/>
    <w:rsid w:val="003A1CAF"/>
    <w:rsid w:val="003A4925"/>
    <w:rsid w:val="003A76E9"/>
    <w:rsid w:val="003C06FC"/>
    <w:rsid w:val="003E3696"/>
    <w:rsid w:val="003E46B6"/>
    <w:rsid w:val="003E66C5"/>
    <w:rsid w:val="003F1B91"/>
    <w:rsid w:val="003F2052"/>
    <w:rsid w:val="003F691B"/>
    <w:rsid w:val="00401F3C"/>
    <w:rsid w:val="004120FE"/>
    <w:rsid w:val="00415603"/>
    <w:rsid w:val="0042081F"/>
    <w:rsid w:val="00426736"/>
    <w:rsid w:val="00427114"/>
    <w:rsid w:val="00431904"/>
    <w:rsid w:val="004332A1"/>
    <w:rsid w:val="0043331D"/>
    <w:rsid w:val="00446736"/>
    <w:rsid w:val="00454A18"/>
    <w:rsid w:val="00455F7D"/>
    <w:rsid w:val="004614C4"/>
    <w:rsid w:val="00470EE8"/>
    <w:rsid w:val="00471921"/>
    <w:rsid w:val="00475BDD"/>
    <w:rsid w:val="004924D9"/>
    <w:rsid w:val="004A1F30"/>
    <w:rsid w:val="004A62FE"/>
    <w:rsid w:val="004B0F73"/>
    <w:rsid w:val="004B36BA"/>
    <w:rsid w:val="004E0B83"/>
    <w:rsid w:val="004E3397"/>
    <w:rsid w:val="004E453B"/>
    <w:rsid w:val="004E7A00"/>
    <w:rsid w:val="00513C7F"/>
    <w:rsid w:val="00517555"/>
    <w:rsid w:val="00517C4B"/>
    <w:rsid w:val="00530C0D"/>
    <w:rsid w:val="00534804"/>
    <w:rsid w:val="0053534A"/>
    <w:rsid w:val="00541993"/>
    <w:rsid w:val="0054344D"/>
    <w:rsid w:val="005462BC"/>
    <w:rsid w:val="0055251B"/>
    <w:rsid w:val="005710A0"/>
    <w:rsid w:val="00591ED1"/>
    <w:rsid w:val="005A0321"/>
    <w:rsid w:val="005A284A"/>
    <w:rsid w:val="005A39E6"/>
    <w:rsid w:val="005A3A11"/>
    <w:rsid w:val="005A78B1"/>
    <w:rsid w:val="005B172D"/>
    <w:rsid w:val="005B1F6D"/>
    <w:rsid w:val="005D0C7B"/>
    <w:rsid w:val="005E2B02"/>
    <w:rsid w:val="005F023E"/>
    <w:rsid w:val="00617D70"/>
    <w:rsid w:val="0062092C"/>
    <w:rsid w:val="00623026"/>
    <w:rsid w:val="00624365"/>
    <w:rsid w:val="00625089"/>
    <w:rsid w:val="006332DD"/>
    <w:rsid w:val="0063603E"/>
    <w:rsid w:val="00636F5A"/>
    <w:rsid w:val="0064594E"/>
    <w:rsid w:val="006544B6"/>
    <w:rsid w:val="00655E5A"/>
    <w:rsid w:val="0065731C"/>
    <w:rsid w:val="006606CC"/>
    <w:rsid w:val="00686400"/>
    <w:rsid w:val="00695461"/>
    <w:rsid w:val="00696C42"/>
    <w:rsid w:val="006A33B4"/>
    <w:rsid w:val="006A60B8"/>
    <w:rsid w:val="006B1EC8"/>
    <w:rsid w:val="006B493C"/>
    <w:rsid w:val="006B71A6"/>
    <w:rsid w:val="006B7D17"/>
    <w:rsid w:val="006C3693"/>
    <w:rsid w:val="006D077D"/>
    <w:rsid w:val="006D1A14"/>
    <w:rsid w:val="006D5D3E"/>
    <w:rsid w:val="006F1D83"/>
    <w:rsid w:val="006F3D8D"/>
    <w:rsid w:val="006F6300"/>
    <w:rsid w:val="00701DFD"/>
    <w:rsid w:val="0071339D"/>
    <w:rsid w:val="00726D18"/>
    <w:rsid w:val="00733DC3"/>
    <w:rsid w:val="0073782B"/>
    <w:rsid w:val="0075051C"/>
    <w:rsid w:val="007520D6"/>
    <w:rsid w:val="00753589"/>
    <w:rsid w:val="00760591"/>
    <w:rsid w:val="00765094"/>
    <w:rsid w:val="00766C34"/>
    <w:rsid w:val="007721C5"/>
    <w:rsid w:val="00777ADC"/>
    <w:rsid w:val="00784FED"/>
    <w:rsid w:val="0079023F"/>
    <w:rsid w:val="0079231C"/>
    <w:rsid w:val="00793811"/>
    <w:rsid w:val="007B2A5E"/>
    <w:rsid w:val="007B423C"/>
    <w:rsid w:val="007C26F4"/>
    <w:rsid w:val="007D1F62"/>
    <w:rsid w:val="007E592C"/>
    <w:rsid w:val="007E69E4"/>
    <w:rsid w:val="007F68D4"/>
    <w:rsid w:val="00801064"/>
    <w:rsid w:val="00802942"/>
    <w:rsid w:val="008136F0"/>
    <w:rsid w:val="008160C9"/>
    <w:rsid w:val="00816CD0"/>
    <w:rsid w:val="00817018"/>
    <w:rsid w:val="00821440"/>
    <w:rsid w:val="00821777"/>
    <w:rsid w:val="0082645B"/>
    <w:rsid w:val="008330F4"/>
    <w:rsid w:val="00834904"/>
    <w:rsid w:val="00851E15"/>
    <w:rsid w:val="0085767D"/>
    <w:rsid w:val="00860F83"/>
    <w:rsid w:val="00864A7F"/>
    <w:rsid w:val="00872017"/>
    <w:rsid w:val="00877DDF"/>
    <w:rsid w:val="00881F06"/>
    <w:rsid w:val="0089277B"/>
    <w:rsid w:val="008A6B66"/>
    <w:rsid w:val="008A79B6"/>
    <w:rsid w:val="008C5332"/>
    <w:rsid w:val="008C7DE5"/>
    <w:rsid w:val="008E1984"/>
    <w:rsid w:val="008F79A9"/>
    <w:rsid w:val="00912A32"/>
    <w:rsid w:val="00922867"/>
    <w:rsid w:val="009263D4"/>
    <w:rsid w:val="00930CB8"/>
    <w:rsid w:val="00930E22"/>
    <w:rsid w:val="00941B8D"/>
    <w:rsid w:val="00957DA8"/>
    <w:rsid w:val="00961085"/>
    <w:rsid w:val="009675A2"/>
    <w:rsid w:val="00971741"/>
    <w:rsid w:val="00983336"/>
    <w:rsid w:val="00984D8D"/>
    <w:rsid w:val="009920F1"/>
    <w:rsid w:val="0099446E"/>
    <w:rsid w:val="0099737E"/>
    <w:rsid w:val="009C37FC"/>
    <w:rsid w:val="009D1D19"/>
    <w:rsid w:val="009D58FF"/>
    <w:rsid w:val="009D6F45"/>
    <w:rsid w:val="009E5022"/>
    <w:rsid w:val="009E64EB"/>
    <w:rsid w:val="009E7E11"/>
    <w:rsid w:val="009F0D52"/>
    <w:rsid w:val="009F16BC"/>
    <w:rsid w:val="009F2AA3"/>
    <w:rsid w:val="009F71F8"/>
    <w:rsid w:val="00A02BEC"/>
    <w:rsid w:val="00A02CF7"/>
    <w:rsid w:val="00A1145E"/>
    <w:rsid w:val="00A30C76"/>
    <w:rsid w:val="00A3288E"/>
    <w:rsid w:val="00A33DA3"/>
    <w:rsid w:val="00A3452C"/>
    <w:rsid w:val="00A34C99"/>
    <w:rsid w:val="00A56FC3"/>
    <w:rsid w:val="00A71027"/>
    <w:rsid w:val="00A777FB"/>
    <w:rsid w:val="00A80829"/>
    <w:rsid w:val="00A9480C"/>
    <w:rsid w:val="00A9796B"/>
    <w:rsid w:val="00AA1FF3"/>
    <w:rsid w:val="00AA55C2"/>
    <w:rsid w:val="00AA5622"/>
    <w:rsid w:val="00AA5EBB"/>
    <w:rsid w:val="00AB44C0"/>
    <w:rsid w:val="00AB6800"/>
    <w:rsid w:val="00AC34AB"/>
    <w:rsid w:val="00AC4EEC"/>
    <w:rsid w:val="00AD3D25"/>
    <w:rsid w:val="00AE58B5"/>
    <w:rsid w:val="00AE62EB"/>
    <w:rsid w:val="00B01E91"/>
    <w:rsid w:val="00B1203A"/>
    <w:rsid w:val="00B315F1"/>
    <w:rsid w:val="00B367CE"/>
    <w:rsid w:val="00B44630"/>
    <w:rsid w:val="00B47D08"/>
    <w:rsid w:val="00B54396"/>
    <w:rsid w:val="00B54416"/>
    <w:rsid w:val="00B5783D"/>
    <w:rsid w:val="00B622F4"/>
    <w:rsid w:val="00B67AB5"/>
    <w:rsid w:val="00B7218A"/>
    <w:rsid w:val="00B73599"/>
    <w:rsid w:val="00B7435E"/>
    <w:rsid w:val="00B76228"/>
    <w:rsid w:val="00B7790B"/>
    <w:rsid w:val="00B875ED"/>
    <w:rsid w:val="00B935B5"/>
    <w:rsid w:val="00B9438C"/>
    <w:rsid w:val="00B94C6E"/>
    <w:rsid w:val="00BA46D9"/>
    <w:rsid w:val="00BB50D3"/>
    <w:rsid w:val="00BB6C45"/>
    <w:rsid w:val="00BB7685"/>
    <w:rsid w:val="00BC071B"/>
    <w:rsid w:val="00BD339F"/>
    <w:rsid w:val="00BD6D52"/>
    <w:rsid w:val="00BE6208"/>
    <w:rsid w:val="00BE7705"/>
    <w:rsid w:val="00C023B9"/>
    <w:rsid w:val="00C05790"/>
    <w:rsid w:val="00C21558"/>
    <w:rsid w:val="00C2425C"/>
    <w:rsid w:val="00C47792"/>
    <w:rsid w:val="00C50857"/>
    <w:rsid w:val="00C762E2"/>
    <w:rsid w:val="00C86773"/>
    <w:rsid w:val="00C92439"/>
    <w:rsid w:val="00C97C4F"/>
    <w:rsid w:val="00CA1B4F"/>
    <w:rsid w:val="00CA587B"/>
    <w:rsid w:val="00CC3C05"/>
    <w:rsid w:val="00CC3ED6"/>
    <w:rsid w:val="00CD50C0"/>
    <w:rsid w:val="00CE4BF0"/>
    <w:rsid w:val="00CF4227"/>
    <w:rsid w:val="00D43718"/>
    <w:rsid w:val="00D56718"/>
    <w:rsid w:val="00D70945"/>
    <w:rsid w:val="00D80AE2"/>
    <w:rsid w:val="00D86D26"/>
    <w:rsid w:val="00D97B4B"/>
    <w:rsid w:val="00DA03E6"/>
    <w:rsid w:val="00DA3652"/>
    <w:rsid w:val="00DB31DB"/>
    <w:rsid w:val="00DC26AE"/>
    <w:rsid w:val="00DD360D"/>
    <w:rsid w:val="00DE0165"/>
    <w:rsid w:val="00DE24BA"/>
    <w:rsid w:val="00DE4385"/>
    <w:rsid w:val="00E03315"/>
    <w:rsid w:val="00E04F83"/>
    <w:rsid w:val="00E064AD"/>
    <w:rsid w:val="00E14B0F"/>
    <w:rsid w:val="00E17345"/>
    <w:rsid w:val="00E264ED"/>
    <w:rsid w:val="00E369A4"/>
    <w:rsid w:val="00E43F77"/>
    <w:rsid w:val="00E45D79"/>
    <w:rsid w:val="00E47949"/>
    <w:rsid w:val="00E47BAD"/>
    <w:rsid w:val="00E50912"/>
    <w:rsid w:val="00E530CE"/>
    <w:rsid w:val="00E57A5C"/>
    <w:rsid w:val="00E81493"/>
    <w:rsid w:val="00EA4C41"/>
    <w:rsid w:val="00EB3A7E"/>
    <w:rsid w:val="00EB4956"/>
    <w:rsid w:val="00EC00DD"/>
    <w:rsid w:val="00ED72B4"/>
    <w:rsid w:val="00EE6659"/>
    <w:rsid w:val="00EE6C47"/>
    <w:rsid w:val="00F00FE5"/>
    <w:rsid w:val="00F05FB9"/>
    <w:rsid w:val="00F0713A"/>
    <w:rsid w:val="00F147F1"/>
    <w:rsid w:val="00F25102"/>
    <w:rsid w:val="00F263F1"/>
    <w:rsid w:val="00F336C6"/>
    <w:rsid w:val="00F35EDB"/>
    <w:rsid w:val="00F47D6A"/>
    <w:rsid w:val="00F50197"/>
    <w:rsid w:val="00F54949"/>
    <w:rsid w:val="00F57399"/>
    <w:rsid w:val="00F57F9B"/>
    <w:rsid w:val="00F61684"/>
    <w:rsid w:val="00F61EAB"/>
    <w:rsid w:val="00F66B72"/>
    <w:rsid w:val="00F7280C"/>
    <w:rsid w:val="00F83A02"/>
    <w:rsid w:val="00F8774A"/>
    <w:rsid w:val="00F87855"/>
    <w:rsid w:val="00F92D7C"/>
    <w:rsid w:val="00F935B8"/>
    <w:rsid w:val="00F94111"/>
    <w:rsid w:val="00F973AF"/>
    <w:rsid w:val="00FA5C57"/>
    <w:rsid w:val="00FB1096"/>
    <w:rsid w:val="00FB1175"/>
    <w:rsid w:val="00FC767F"/>
    <w:rsid w:val="00FE2A30"/>
    <w:rsid w:val="00FF3C9B"/>
    <w:rsid w:val="00FF4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7"/>
    <o:shapelayout v:ext="edit">
      <o:idmap v:ext="edit" data="1"/>
    </o:shapelayout>
  </w:shapeDefaults>
  <w:decimalSymbol w:val="."/>
  <w:listSeparator w:val=","/>
  <w14:docId w14:val="79518290"/>
  <w15:docId w15:val="{0A89935D-7CB4-4BAB-9EB6-A6E56048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05FB9"/>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19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993"/>
    <w:rPr>
      <w:rFonts w:ascii="Tahoma" w:hAnsi="Tahoma" w:cs="Tahoma"/>
      <w:sz w:val="16"/>
      <w:szCs w:val="16"/>
    </w:rPr>
  </w:style>
  <w:style w:type="paragraph" w:styleId="ListParagraph">
    <w:name w:val="List Paragraph"/>
    <w:basedOn w:val="Normal"/>
    <w:uiPriority w:val="34"/>
    <w:qFormat/>
    <w:rsid w:val="002B35E0"/>
    <w:pPr>
      <w:ind w:left="720"/>
      <w:contextualSpacing/>
    </w:pPr>
  </w:style>
  <w:style w:type="paragraph" w:styleId="FootnoteText">
    <w:name w:val="footnote text"/>
    <w:basedOn w:val="Normal"/>
    <w:link w:val="FootnoteTextChar"/>
    <w:uiPriority w:val="99"/>
    <w:semiHidden/>
    <w:unhideWhenUsed/>
    <w:rsid w:val="00C2425C"/>
    <w:pPr>
      <w:spacing w:line="240" w:lineRule="auto"/>
    </w:pPr>
    <w:rPr>
      <w:sz w:val="20"/>
      <w:szCs w:val="20"/>
    </w:rPr>
  </w:style>
  <w:style w:type="character" w:customStyle="1" w:styleId="FootnoteTextChar">
    <w:name w:val="Footnote Text Char"/>
    <w:basedOn w:val="DefaultParagraphFont"/>
    <w:link w:val="FootnoteText"/>
    <w:uiPriority w:val="99"/>
    <w:semiHidden/>
    <w:rsid w:val="00C2425C"/>
    <w:rPr>
      <w:sz w:val="20"/>
      <w:szCs w:val="20"/>
    </w:rPr>
  </w:style>
  <w:style w:type="character" w:styleId="FootnoteReference">
    <w:name w:val="footnote reference"/>
    <w:basedOn w:val="DefaultParagraphFont"/>
    <w:uiPriority w:val="99"/>
    <w:semiHidden/>
    <w:unhideWhenUsed/>
    <w:rsid w:val="00C2425C"/>
    <w:rPr>
      <w:vertAlign w:val="superscript"/>
    </w:rPr>
  </w:style>
  <w:style w:type="character" w:styleId="CommentReference">
    <w:name w:val="annotation reference"/>
    <w:basedOn w:val="DefaultParagraphFont"/>
    <w:uiPriority w:val="99"/>
    <w:semiHidden/>
    <w:unhideWhenUsed/>
    <w:rsid w:val="00A30C76"/>
    <w:rPr>
      <w:sz w:val="16"/>
      <w:szCs w:val="16"/>
    </w:rPr>
  </w:style>
  <w:style w:type="paragraph" w:styleId="CommentText">
    <w:name w:val="annotation text"/>
    <w:basedOn w:val="Normal"/>
    <w:link w:val="CommentTextChar"/>
    <w:uiPriority w:val="99"/>
    <w:semiHidden/>
    <w:unhideWhenUsed/>
    <w:rsid w:val="00A30C76"/>
    <w:pPr>
      <w:spacing w:line="240" w:lineRule="auto"/>
    </w:pPr>
    <w:rPr>
      <w:sz w:val="20"/>
      <w:szCs w:val="20"/>
    </w:rPr>
  </w:style>
  <w:style w:type="character" w:customStyle="1" w:styleId="CommentTextChar">
    <w:name w:val="Comment Text Char"/>
    <w:basedOn w:val="DefaultParagraphFont"/>
    <w:link w:val="CommentText"/>
    <w:uiPriority w:val="99"/>
    <w:semiHidden/>
    <w:rsid w:val="00A30C76"/>
    <w:rPr>
      <w:sz w:val="20"/>
      <w:szCs w:val="20"/>
    </w:rPr>
  </w:style>
  <w:style w:type="paragraph" w:styleId="CommentSubject">
    <w:name w:val="annotation subject"/>
    <w:basedOn w:val="CommentText"/>
    <w:next w:val="CommentText"/>
    <w:link w:val="CommentSubjectChar"/>
    <w:uiPriority w:val="99"/>
    <w:semiHidden/>
    <w:unhideWhenUsed/>
    <w:rsid w:val="00A30C76"/>
    <w:rPr>
      <w:b/>
      <w:bCs/>
    </w:rPr>
  </w:style>
  <w:style w:type="character" w:customStyle="1" w:styleId="CommentSubjectChar">
    <w:name w:val="Comment Subject Char"/>
    <w:basedOn w:val="CommentTextChar"/>
    <w:link w:val="CommentSubject"/>
    <w:uiPriority w:val="99"/>
    <w:semiHidden/>
    <w:rsid w:val="00A30C76"/>
    <w:rPr>
      <w:b/>
      <w:bCs/>
      <w:sz w:val="20"/>
      <w:szCs w:val="20"/>
    </w:rPr>
  </w:style>
  <w:style w:type="paragraph" w:styleId="Revision">
    <w:name w:val="Revision"/>
    <w:hidden/>
    <w:uiPriority w:val="99"/>
    <w:semiHidden/>
    <w:rsid w:val="00A3452C"/>
    <w:pPr>
      <w:spacing w:after="0" w:line="240" w:lineRule="auto"/>
    </w:pPr>
  </w:style>
  <w:style w:type="paragraph" w:styleId="Header">
    <w:name w:val="header"/>
    <w:basedOn w:val="Normal"/>
    <w:link w:val="HeaderChar"/>
    <w:uiPriority w:val="99"/>
    <w:unhideWhenUsed/>
    <w:rsid w:val="005A0321"/>
    <w:pPr>
      <w:tabs>
        <w:tab w:val="center" w:pos="4513"/>
        <w:tab w:val="right" w:pos="9026"/>
      </w:tabs>
      <w:spacing w:line="240" w:lineRule="auto"/>
    </w:pPr>
  </w:style>
  <w:style w:type="character" w:customStyle="1" w:styleId="HeaderChar">
    <w:name w:val="Header Char"/>
    <w:basedOn w:val="DefaultParagraphFont"/>
    <w:link w:val="Header"/>
    <w:uiPriority w:val="99"/>
    <w:rsid w:val="005A0321"/>
  </w:style>
  <w:style w:type="paragraph" w:styleId="Footer">
    <w:name w:val="footer"/>
    <w:basedOn w:val="Normal"/>
    <w:link w:val="FooterChar"/>
    <w:uiPriority w:val="99"/>
    <w:unhideWhenUsed/>
    <w:rsid w:val="005A0321"/>
    <w:pPr>
      <w:tabs>
        <w:tab w:val="center" w:pos="4513"/>
        <w:tab w:val="right" w:pos="9026"/>
      </w:tabs>
      <w:spacing w:line="240" w:lineRule="auto"/>
    </w:pPr>
  </w:style>
  <w:style w:type="character" w:customStyle="1" w:styleId="FooterChar">
    <w:name w:val="Footer Char"/>
    <w:basedOn w:val="DefaultParagraphFont"/>
    <w:link w:val="Footer"/>
    <w:uiPriority w:val="99"/>
    <w:rsid w:val="005A0321"/>
  </w:style>
  <w:style w:type="character" w:styleId="Hyperlink">
    <w:name w:val="Hyperlink"/>
    <w:basedOn w:val="DefaultParagraphFont"/>
    <w:uiPriority w:val="99"/>
    <w:unhideWhenUsed/>
    <w:rsid w:val="00E369A4"/>
    <w:rPr>
      <w:color w:val="0000FF" w:themeColor="hyperlink"/>
      <w:u w:val="single"/>
    </w:rPr>
  </w:style>
  <w:style w:type="character" w:styleId="Emphasis">
    <w:name w:val="Emphasis"/>
    <w:basedOn w:val="DefaultParagraphFont"/>
    <w:uiPriority w:val="20"/>
    <w:qFormat/>
    <w:rsid w:val="00084B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59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3D0E9-3474-43C5-A934-544342234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5</Pages>
  <Words>1595</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Barnsley MBC</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Winterbottom , Geoffrey</dc:creator>
  <cp:lastModifiedBy>Winterbottom , Geoff (PRINCIPAL RESEARCH OFFICER)</cp:lastModifiedBy>
  <cp:revision>6</cp:revision>
  <cp:lastPrinted>2020-01-14T09:45:00Z</cp:lastPrinted>
  <dcterms:created xsi:type="dcterms:W3CDTF">2021-01-13T16:52:00Z</dcterms:created>
  <dcterms:modified xsi:type="dcterms:W3CDTF">2021-01-15T15:35:00Z</dcterms:modified>
</cp:coreProperties>
</file>