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496" w:rsidRPr="00EE6F7F" w:rsidRDefault="00C90912" w:rsidP="00EE6F7F">
      <w:pPr>
        <w:pStyle w:val="ListParagraph"/>
        <w:ind w:left="360"/>
        <w:jc w:val="both"/>
        <w:rPr>
          <w:rFonts w:ascii="Arial" w:hAnsi="Arial" w:cs="Arial"/>
          <w:b/>
          <w:color w:val="943634" w:themeColor="accent2" w:themeShade="BF"/>
          <w:sz w:val="32"/>
          <w:szCs w:val="32"/>
          <w:u w:val="single"/>
        </w:rPr>
      </w:pPr>
      <w:r w:rsidRPr="00EE6F7F">
        <w:rPr>
          <w:rFonts w:ascii="Arial" w:hAnsi="Arial" w:cs="Arial"/>
          <w:b/>
          <w:color w:val="943634" w:themeColor="accent2" w:themeShade="BF"/>
          <w:sz w:val="32"/>
          <w:szCs w:val="32"/>
          <w:u w:val="single"/>
        </w:rPr>
        <w:t xml:space="preserve">SIGOMA </w:t>
      </w:r>
    </w:p>
    <w:p w:rsidR="00296496" w:rsidRDefault="00296496" w:rsidP="00C560F7">
      <w:pPr>
        <w:jc w:val="both"/>
        <w:rPr>
          <w:rFonts w:ascii="Arial" w:hAnsi="Arial" w:cs="Arial"/>
          <w:b/>
          <w:color w:val="943634" w:themeColor="accent2" w:themeShade="BF"/>
          <w:sz w:val="32"/>
          <w:szCs w:val="32"/>
          <w:u w:val="single"/>
        </w:rPr>
      </w:pPr>
    </w:p>
    <w:p w:rsidR="00C90912" w:rsidRPr="00EE6F7F" w:rsidRDefault="00C90912" w:rsidP="00EE6F7F">
      <w:pPr>
        <w:pStyle w:val="ListParagraph"/>
        <w:ind w:left="360"/>
        <w:jc w:val="both"/>
        <w:rPr>
          <w:rFonts w:ascii="Arial" w:hAnsi="Arial" w:cs="Arial"/>
          <w:b/>
          <w:sz w:val="32"/>
          <w:szCs w:val="32"/>
          <w:u w:val="single"/>
        </w:rPr>
      </w:pPr>
      <w:r w:rsidRPr="00EE6F7F">
        <w:rPr>
          <w:rFonts w:ascii="Arial" w:hAnsi="Arial" w:cs="Arial"/>
          <w:b/>
          <w:color w:val="943634" w:themeColor="accent2" w:themeShade="BF"/>
          <w:sz w:val="32"/>
          <w:szCs w:val="32"/>
          <w:u w:val="single"/>
        </w:rPr>
        <w:t xml:space="preserve">Submission to the CLG Committee </w:t>
      </w:r>
      <w:r w:rsidR="00AD44D9" w:rsidRPr="00EE6F7F">
        <w:rPr>
          <w:rFonts w:ascii="Arial" w:hAnsi="Arial" w:cs="Arial"/>
          <w:b/>
          <w:color w:val="943634" w:themeColor="accent2" w:themeShade="BF"/>
          <w:sz w:val="32"/>
          <w:szCs w:val="32"/>
          <w:u w:val="single"/>
        </w:rPr>
        <w:t>enquiry on 100% Business Rate Retention</w:t>
      </w:r>
    </w:p>
    <w:p w:rsidR="00C90912" w:rsidRPr="00687500" w:rsidRDefault="00C90912" w:rsidP="00C560F7">
      <w:pPr>
        <w:jc w:val="both"/>
        <w:rPr>
          <w:rFonts w:ascii="Arial" w:hAnsi="Arial" w:cs="Arial"/>
          <w:sz w:val="24"/>
          <w:szCs w:val="24"/>
        </w:rPr>
      </w:pPr>
    </w:p>
    <w:p w:rsidR="00EE6F7F" w:rsidRDefault="00C560F7" w:rsidP="002B76F7">
      <w:pPr>
        <w:pStyle w:val="BodyText3"/>
        <w:ind w:left="426"/>
        <w:jc w:val="both"/>
        <w:rPr>
          <w:rFonts w:ascii="Arial" w:hAnsi="Arial" w:cs="Arial"/>
          <w:i w:val="0"/>
          <w:color w:val="943634" w:themeColor="accent2" w:themeShade="BF"/>
          <w:sz w:val="28"/>
          <w:szCs w:val="28"/>
          <w:lang w:val="en-GB"/>
        </w:rPr>
      </w:pPr>
      <w:r w:rsidRPr="004C1F15">
        <w:rPr>
          <w:rFonts w:ascii="Arial" w:hAnsi="Arial" w:cs="Arial"/>
          <w:i w:val="0"/>
          <w:color w:val="943634" w:themeColor="accent2" w:themeShade="BF"/>
          <w:sz w:val="28"/>
          <w:szCs w:val="28"/>
          <w:lang w:val="en-GB"/>
        </w:rPr>
        <w:t>About SIGOMA</w:t>
      </w:r>
    </w:p>
    <w:p w:rsidR="00EE6F7F" w:rsidRDefault="00EE6F7F" w:rsidP="00EE6F7F">
      <w:pPr>
        <w:pStyle w:val="BodyText3"/>
        <w:ind w:left="360"/>
        <w:jc w:val="both"/>
        <w:rPr>
          <w:rFonts w:ascii="Arial" w:hAnsi="Arial" w:cs="Arial"/>
          <w:i w:val="0"/>
          <w:color w:val="943634" w:themeColor="accent2" w:themeShade="BF"/>
          <w:sz w:val="28"/>
          <w:szCs w:val="28"/>
          <w:lang w:val="en-GB"/>
        </w:rPr>
      </w:pPr>
    </w:p>
    <w:p w:rsidR="00EE6F7F" w:rsidRPr="00EE6F7F" w:rsidRDefault="00C560F7" w:rsidP="002B76F7">
      <w:pPr>
        <w:pStyle w:val="BodyText3"/>
        <w:numPr>
          <w:ilvl w:val="0"/>
          <w:numId w:val="17"/>
        </w:numPr>
        <w:jc w:val="both"/>
        <w:rPr>
          <w:rFonts w:ascii="Arial" w:hAnsi="Arial" w:cs="Arial"/>
          <w:b w:val="0"/>
          <w:i w:val="0"/>
          <w:szCs w:val="24"/>
          <w:lang w:val="en-GB"/>
        </w:rPr>
      </w:pPr>
      <w:r w:rsidRPr="00EE6F7F">
        <w:rPr>
          <w:rFonts w:ascii="Arial" w:hAnsi="Arial" w:cs="Arial"/>
          <w:b w:val="0"/>
          <w:i w:val="0"/>
          <w:szCs w:val="24"/>
          <w:lang w:val="en-GB"/>
        </w:rPr>
        <w:t xml:space="preserve">SIGOMA is a special interest group of 45 authorities in the northern, midland and south-coast regions of </w:t>
      </w:r>
      <w:r w:rsidR="000A63B2" w:rsidRPr="00EE6F7F">
        <w:rPr>
          <w:rFonts w:ascii="Arial" w:hAnsi="Arial" w:cs="Arial"/>
          <w:b w:val="0"/>
          <w:i w:val="0"/>
          <w:szCs w:val="24"/>
          <w:lang w:val="en-GB"/>
        </w:rPr>
        <w:t>England consisting of</w:t>
      </w:r>
      <w:r w:rsidRPr="00EE6F7F">
        <w:rPr>
          <w:rFonts w:ascii="Arial" w:hAnsi="Arial" w:cs="Arial"/>
          <w:b w:val="0"/>
          <w:i w:val="0"/>
          <w:szCs w:val="24"/>
          <w:lang w:val="en-GB"/>
        </w:rPr>
        <w:t xml:space="preserve"> 32 metropolitan districts and 13 major unitary authorities covering key urban areas.</w:t>
      </w:r>
    </w:p>
    <w:p w:rsidR="00EE6F7F" w:rsidRPr="00EE6F7F" w:rsidRDefault="00EE6F7F" w:rsidP="00EE6F7F">
      <w:pPr>
        <w:pStyle w:val="ListParagraph"/>
        <w:rPr>
          <w:rFonts w:ascii="Arial" w:hAnsi="Arial" w:cs="Arial"/>
          <w:szCs w:val="24"/>
        </w:rPr>
      </w:pPr>
    </w:p>
    <w:p w:rsidR="00EE6F7F" w:rsidRPr="00EE6F7F" w:rsidRDefault="00C560F7" w:rsidP="00295AF2">
      <w:pPr>
        <w:pStyle w:val="BodyText3"/>
        <w:numPr>
          <w:ilvl w:val="1"/>
          <w:numId w:val="17"/>
        </w:numPr>
        <w:jc w:val="both"/>
        <w:rPr>
          <w:rFonts w:ascii="Arial" w:hAnsi="Arial" w:cs="Arial"/>
          <w:b w:val="0"/>
          <w:szCs w:val="24"/>
        </w:rPr>
      </w:pPr>
      <w:r w:rsidRPr="00EE6F7F">
        <w:rPr>
          <w:rFonts w:ascii="Arial" w:hAnsi="Arial" w:cs="Arial"/>
          <w:b w:val="0"/>
          <w:szCs w:val="24"/>
        </w:rPr>
        <w:t xml:space="preserve">Our membership includes authorities in the North East, Yorkshire and Humberside, the North West, Merseyside, the Midlands and the Southern Ports. </w:t>
      </w:r>
    </w:p>
    <w:p w:rsidR="00EE6F7F" w:rsidRPr="00EE6F7F" w:rsidRDefault="00EE6F7F" w:rsidP="00EE6F7F">
      <w:pPr>
        <w:pStyle w:val="ListParagraph"/>
        <w:rPr>
          <w:rFonts w:ascii="Arial" w:hAnsi="Arial" w:cs="Arial"/>
          <w:szCs w:val="24"/>
        </w:rPr>
      </w:pPr>
    </w:p>
    <w:p w:rsidR="00EE6F7F" w:rsidRPr="00EE6F7F" w:rsidRDefault="00C560F7" w:rsidP="00295AF2">
      <w:pPr>
        <w:pStyle w:val="BodyText3"/>
        <w:numPr>
          <w:ilvl w:val="1"/>
          <w:numId w:val="17"/>
        </w:numPr>
        <w:jc w:val="both"/>
        <w:rPr>
          <w:rFonts w:ascii="Arial" w:hAnsi="Arial" w:cs="Arial"/>
          <w:b w:val="0"/>
          <w:szCs w:val="24"/>
        </w:rPr>
      </w:pPr>
      <w:r w:rsidRPr="00EE6F7F">
        <w:rPr>
          <w:rFonts w:ascii="Arial" w:hAnsi="Arial" w:cs="Arial"/>
          <w:b w:val="0"/>
          <w:szCs w:val="24"/>
        </w:rPr>
        <w:t xml:space="preserve">Around 23% of </w:t>
      </w:r>
      <w:r w:rsidR="000A63B2" w:rsidRPr="00EE6F7F">
        <w:rPr>
          <w:rFonts w:ascii="Arial" w:hAnsi="Arial" w:cs="Arial"/>
          <w:b w:val="0"/>
          <w:szCs w:val="24"/>
        </w:rPr>
        <w:t xml:space="preserve">all </w:t>
      </w:r>
      <w:r w:rsidRPr="00EE6F7F">
        <w:rPr>
          <w:rFonts w:ascii="Arial" w:hAnsi="Arial" w:cs="Arial"/>
          <w:b w:val="0"/>
          <w:szCs w:val="24"/>
        </w:rPr>
        <w:t>service expenditure by English local authorities is accounted for within SIGOMA authorities</w:t>
      </w:r>
      <w:r w:rsidR="003073FD" w:rsidRPr="00EE6F7F">
        <w:rPr>
          <w:rFonts w:ascii="Arial" w:hAnsi="Arial" w:cs="Arial"/>
          <w:b w:val="0"/>
          <w:szCs w:val="24"/>
        </w:rPr>
        <w:t xml:space="preserve"> who also accommodate</w:t>
      </w:r>
      <w:r w:rsidR="003E1842" w:rsidRPr="00EE6F7F">
        <w:rPr>
          <w:rFonts w:ascii="Arial" w:hAnsi="Arial" w:cs="Arial"/>
          <w:b w:val="0"/>
          <w:szCs w:val="24"/>
        </w:rPr>
        <w:t xml:space="preserve"> around 23% of </w:t>
      </w:r>
      <w:r w:rsidR="000A63B2" w:rsidRPr="00EE6F7F">
        <w:rPr>
          <w:rFonts w:ascii="Arial" w:hAnsi="Arial" w:cs="Arial"/>
          <w:b w:val="0"/>
          <w:szCs w:val="24"/>
        </w:rPr>
        <w:t xml:space="preserve">the </w:t>
      </w:r>
      <w:r w:rsidR="003E1842" w:rsidRPr="00EE6F7F">
        <w:rPr>
          <w:rFonts w:ascii="Arial" w:hAnsi="Arial" w:cs="Arial"/>
          <w:b w:val="0"/>
          <w:szCs w:val="24"/>
        </w:rPr>
        <w:t>country’s population</w:t>
      </w:r>
      <w:r w:rsidR="003073FD" w:rsidRPr="00EE6F7F">
        <w:rPr>
          <w:rFonts w:ascii="Arial" w:hAnsi="Arial" w:cs="Arial"/>
          <w:b w:val="0"/>
          <w:szCs w:val="24"/>
        </w:rPr>
        <w:t>;</w:t>
      </w:r>
      <w:r w:rsidR="00E533B6" w:rsidRPr="00EE6F7F">
        <w:rPr>
          <w:rFonts w:ascii="Arial" w:hAnsi="Arial" w:cs="Arial"/>
          <w:b w:val="0"/>
          <w:szCs w:val="24"/>
        </w:rPr>
        <w:t xml:space="preserve"> but SIGOMA authorities shared only 18.5% of the £20.8 billion of </w:t>
      </w:r>
      <w:r w:rsidR="008B77E1" w:rsidRPr="00EE6F7F">
        <w:rPr>
          <w:rFonts w:ascii="Arial" w:hAnsi="Arial" w:cs="Arial"/>
          <w:b w:val="0"/>
          <w:szCs w:val="24"/>
        </w:rPr>
        <w:t>Business rates</w:t>
      </w:r>
      <w:r w:rsidR="00E533B6" w:rsidRPr="00EE6F7F">
        <w:rPr>
          <w:rFonts w:ascii="Arial" w:hAnsi="Arial" w:cs="Arial"/>
          <w:b w:val="0"/>
          <w:szCs w:val="24"/>
        </w:rPr>
        <w:t xml:space="preserve"> retained by local authorities in 2014-15</w:t>
      </w:r>
      <w:r w:rsidR="00E533B6" w:rsidRPr="00EE6F7F">
        <w:rPr>
          <w:rStyle w:val="FootnoteReference"/>
          <w:rFonts w:ascii="Arial" w:hAnsi="Arial" w:cs="Arial"/>
          <w:b w:val="0"/>
          <w:szCs w:val="24"/>
        </w:rPr>
        <w:footnoteReference w:id="1"/>
      </w:r>
      <w:r w:rsidR="00E533B6" w:rsidRPr="00EE6F7F">
        <w:rPr>
          <w:rFonts w:ascii="Arial" w:hAnsi="Arial" w:cs="Arial"/>
          <w:b w:val="0"/>
          <w:szCs w:val="24"/>
        </w:rPr>
        <w:t>.</w:t>
      </w:r>
    </w:p>
    <w:p w:rsidR="00EE6F7F" w:rsidRPr="00EE6F7F" w:rsidRDefault="00EE6F7F" w:rsidP="00EE6F7F">
      <w:pPr>
        <w:pStyle w:val="ListParagraph"/>
        <w:rPr>
          <w:rFonts w:ascii="Arial" w:hAnsi="Arial" w:cs="Arial"/>
          <w:szCs w:val="24"/>
        </w:rPr>
      </w:pPr>
    </w:p>
    <w:p w:rsidR="00EE6F7F" w:rsidRPr="00185048" w:rsidRDefault="00A30B43" w:rsidP="00295AF2">
      <w:pPr>
        <w:pStyle w:val="BodyText3"/>
        <w:numPr>
          <w:ilvl w:val="1"/>
          <w:numId w:val="17"/>
        </w:numPr>
        <w:jc w:val="both"/>
        <w:rPr>
          <w:rFonts w:ascii="Arial" w:hAnsi="Arial" w:cs="Arial"/>
          <w:b w:val="0"/>
          <w:szCs w:val="24"/>
        </w:rPr>
      </w:pPr>
      <w:r w:rsidRPr="00EE6F7F">
        <w:rPr>
          <w:rFonts w:ascii="Arial" w:hAnsi="Arial" w:cs="Arial"/>
          <w:b w:val="0"/>
          <w:szCs w:val="24"/>
        </w:rPr>
        <w:t>6 out of the 10 most deprived authorities in the country</w:t>
      </w:r>
      <w:r w:rsidRPr="00EE6F7F">
        <w:rPr>
          <w:rStyle w:val="FootnoteReference"/>
          <w:rFonts w:ascii="Arial" w:hAnsi="Arial" w:cs="Arial"/>
          <w:b w:val="0"/>
          <w:szCs w:val="24"/>
        </w:rPr>
        <w:footnoteReference w:id="2"/>
      </w:r>
      <w:r w:rsidR="000A63B2" w:rsidRPr="00EE6F7F">
        <w:rPr>
          <w:rFonts w:ascii="Arial" w:hAnsi="Arial" w:cs="Arial"/>
          <w:b w:val="0"/>
          <w:szCs w:val="24"/>
        </w:rPr>
        <w:t xml:space="preserve">  are SIGOMA members i</w:t>
      </w:r>
      <w:r w:rsidRPr="00EE6F7F">
        <w:rPr>
          <w:rFonts w:ascii="Arial" w:hAnsi="Arial" w:cs="Arial"/>
          <w:b w:val="0"/>
          <w:szCs w:val="24"/>
        </w:rPr>
        <w:t>ncluding the country’s most deprived</w:t>
      </w:r>
      <w:r w:rsidR="0028003D" w:rsidRPr="00EE6F7F">
        <w:rPr>
          <w:rFonts w:ascii="Arial" w:hAnsi="Arial" w:cs="Arial"/>
          <w:b w:val="0"/>
          <w:szCs w:val="24"/>
        </w:rPr>
        <w:t xml:space="preserve"> authority </w:t>
      </w:r>
      <w:r w:rsidRPr="00EE6F7F">
        <w:rPr>
          <w:rFonts w:ascii="Arial" w:hAnsi="Arial" w:cs="Arial"/>
          <w:b w:val="0"/>
          <w:szCs w:val="24"/>
        </w:rPr>
        <w:t>, Blackpool. The average dep</w:t>
      </w:r>
      <w:r w:rsidR="003073FD" w:rsidRPr="00EE6F7F">
        <w:rPr>
          <w:rFonts w:ascii="Arial" w:hAnsi="Arial" w:cs="Arial"/>
          <w:b w:val="0"/>
          <w:szCs w:val="24"/>
        </w:rPr>
        <w:t>rivation score of SIGOMA authorities</w:t>
      </w:r>
      <w:r w:rsidRPr="00EE6F7F">
        <w:rPr>
          <w:rFonts w:ascii="Arial" w:hAnsi="Arial" w:cs="Arial"/>
          <w:b w:val="0"/>
          <w:szCs w:val="24"/>
        </w:rPr>
        <w:t xml:space="preserve"> is 29.7 compared to the national average of 23.0</w:t>
      </w:r>
      <w:r w:rsidRPr="00EE6F7F">
        <w:rPr>
          <w:rStyle w:val="FootnoteReference"/>
          <w:rFonts w:ascii="Arial" w:hAnsi="Arial" w:cs="Arial"/>
          <w:b w:val="0"/>
          <w:szCs w:val="24"/>
        </w:rPr>
        <w:footnoteReference w:id="3"/>
      </w:r>
      <w:r w:rsidRPr="00EE6F7F">
        <w:rPr>
          <w:rFonts w:ascii="Arial" w:hAnsi="Arial" w:cs="Arial"/>
          <w:b w:val="0"/>
          <w:szCs w:val="24"/>
        </w:rPr>
        <w:t xml:space="preserve"> with only 5 of our </w:t>
      </w:r>
      <w:r w:rsidRPr="00185048">
        <w:rPr>
          <w:rFonts w:ascii="Arial" w:hAnsi="Arial" w:cs="Arial"/>
          <w:b w:val="0"/>
          <w:szCs w:val="24"/>
        </w:rPr>
        <w:t>members having a score below that average</w:t>
      </w:r>
    </w:p>
    <w:p w:rsidR="00EE6F7F" w:rsidRPr="00185048" w:rsidRDefault="00EE6F7F" w:rsidP="00EE6F7F">
      <w:pPr>
        <w:pStyle w:val="ListParagraph"/>
        <w:rPr>
          <w:rFonts w:ascii="Arial" w:hAnsi="Arial" w:cs="Arial"/>
          <w:szCs w:val="24"/>
        </w:rPr>
      </w:pPr>
    </w:p>
    <w:p w:rsidR="004C1F15" w:rsidRPr="00185048" w:rsidRDefault="00C560F7" w:rsidP="00295AF2">
      <w:pPr>
        <w:pStyle w:val="BodyText3"/>
        <w:numPr>
          <w:ilvl w:val="1"/>
          <w:numId w:val="17"/>
        </w:numPr>
        <w:jc w:val="both"/>
        <w:rPr>
          <w:rFonts w:ascii="Arial" w:hAnsi="Arial" w:cs="Arial"/>
          <w:b w:val="0"/>
          <w:szCs w:val="24"/>
        </w:rPr>
      </w:pPr>
      <w:r w:rsidRPr="00185048">
        <w:rPr>
          <w:rFonts w:ascii="Arial" w:hAnsi="Arial" w:cs="Arial"/>
          <w:b w:val="0"/>
          <w:szCs w:val="24"/>
        </w:rPr>
        <w:t>All SIGOMA authorities are billing authorities</w:t>
      </w:r>
      <w:r w:rsidR="00E533B6" w:rsidRPr="00185048">
        <w:rPr>
          <w:rFonts w:ascii="Arial" w:hAnsi="Arial" w:cs="Arial"/>
          <w:b w:val="0"/>
          <w:szCs w:val="24"/>
        </w:rPr>
        <w:t xml:space="preserve"> for </w:t>
      </w:r>
      <w:r w:rsidR="008B77E1" w:rsidRPr="00185048">
        <w:rPr>
          <w:rFonts w:ascii="Arial" w:hAnsi="Arial" w:cs="Arial"/>
          <w:b w:val="0"/>
          <w:szCs w:val="24"/>
        </w:rPr>
        <w:t>Business rates</w:t>
      </w:r>
      <w:r w:rsidR="006A69A1" w:rsidRPr="00185048">
        <w:rPr>
          <w:rFonts w:ascii="Arial" w:hAnsi="Arial" w:cs="Arial"/>
          <w:b w:val="0"/>
          <w:szCs w:val="24"/>
        </w:rPr>
        <w:t>.</w:t>
      </w:r>
    </w:p>
    <w:p w:rsidR="000A63B2" w:rsidRPr="00185048" w:rsidRDefault="000A63B2" w:rsidP="00EE6F7F">
      <w:pPr>
        <w:rPr>
          <w:rFonts w:ascii="Arial" w:hAnsi="Arial" w:cs="Arial"/>
          <w:sz w:val="24"/>
          <w:szCs w:val="24"/>
        </w:rPr>
      </w:pPr>
    </w:p>
    <w:p w:rsidR="006A69A1" w:rsidRPr="00EE6F7F" w:rsidRDefault="008B77E1" w:rsidP="00EE6F7F">
      <w:pPr>
        <w:pStyle w:val="ListParagraph"/>
        <w:ind w:left="360"/>
        <w:rPr>
          <w:rFonts w:ascii="Arial" w:hAnsi="Arial" w:cs="Arial"/>
          <w:b/>
          <w:sz w:val="28"/>
          <w:szCs w:val="28"/>
        </w:rPr>
      </w:pPr>
      <w:r w:rsidRPr="00EE6F7F">
        <w:rPr>
          <w:rFonts w:ascii="Arial" w:hAnsi="Arial" w:cs="Arial"/>
          <w:b/>
          <w:color w:val="943634" w:themeColor="accent2" w:themeShade="BF"/>
          <w:sz w:val="28"/>
          <w:szCs w:val="28"/>
        </w:rPr>
        <w:t>Business rates</w:t>
      </w:r>
      <w:r w:rsidR="006A69A1" w:rsidRPr="00EE6F7F">
        <w:rPr>
          <w:rFonts w:ascii="Arial" w:hAnsi="Arial" w:cs="Arial"/>
          <w:b/>
          <w:color w:val="943634" w:themeColor="accent2" w:themeShade="BF"/>
          <w:sz w:val="28"/>
          <w:szCs w:val="28"/>
        </w:rPr>
        <w:t xml:space="preserve"> in context of a local authority financial Settlement</w:t>
      </w:r>
    </w:p>
    <w:p w:rsidR="00C560F7" w:rsidRPr="00687500" w:rsidRDefault="00C560F7" w:rsidP="00C560F7">
      <w:pPr>
        <w:pStyle w:val="BodyText3"/>
        <w:jc w:val="both"/>
        <w:rPr>
          <w:rFonts w:ascii="Arial" w:hAnsi="Arial" w:cs="Arial"/>
          <w:b w:val="0"/>
          <w:i w:val="0"/>
          <w:szCs w:val="24"/>
          <w:lang w:val="en-GB"/>
        </w:rPr>
      </w:pPr>
    </w:p>
    <w:p w:rsidR="005F3CCF" w:rsidRPr="005F3CCF" w:rsidRDefault="005F3CCF" w:rsidP="00EE6F7F">
      <w:pPr>
        <w:pStyle w:val="BodyText3"/>
        <w:ind w:left="360"/>
        <w:jc w:val="both"/>
        <w:rPr>
          <w:rFonts w:ascii="Arial" w:hAnsi="Arial" w:cs="Arial"/>
          <w:b w:val="0"/>
          <w:color w:val="943634" w:themeColor="accent2" w:themeShade="BF"/>
          <w:szCs w:val="24"/>
          <w:lang w:val="en-GB"/>
        </w:rPr>
      </w:pPr>
      <w:r w:rsidRPr="005F3CCF">
        <w:rPr>
          <w:rFonts w:ascii="Arial" w:hAnsi="Arial" w:cs="Arial"/>
          <w:b w:val="0"/>
          <w:color w:val="943634" w:themeColor="accent2" w:themeShade="BF"/>
          <w:szCs w:val="24"/>
          <w:lang w:val="en-GB"/>
        </w:rPr>
        <w:t>Incentives are sustained by reducing needs allocations</w:t>
      </w:r>
    </w:p>
    <w:p w:rsidR="006A69A1" w:rsidRPr="00687500" w:rsidRDefault="006A69A1" w:rsidP="00295AF2">
      <w:pPr>
        <w:pStyle w:val="BodyText3"/>
        <w:numPr>
          <w:ilvl w:val="0"/>
          <w:numId w:val="17"/>
        </w:numPr>
        <w:jc w:val="both"/>
        <w:rPr>
          <w:rFonts w:ascii="Arial" w:hAnsi="Arial" w:cs="Arial"/>
          <w:b w:val="0"/>
          <w:i w:val="0"/>
          <w:szCs w:val="24"/>
          <w:lang w:val="en-GB"/>
        </w:rPr>
      </w:pPr>
      <w:r w:rsidRPr="00687500">
        <w:rPr>
          <w:rFonts w:ascii="Arial" w:hAnsi="Arial" w:cs="Arial"/>
          <w:b w:val="0"/>
          <w:i w:val="0"/>
          <w:szCs w:val="24"/>
          <w:lang w:val="en-GB"/>
        </w:rPr>
        <w:t>In 2013</w:t>
      </w:r>
      <w:r w:rsidR="0065452A" w:rsidRPr="00687500">
        <w:rPr>
          <w:rFonts w:ascii="Arial" w:hAnsi="Arial" w:cs="Arial"/>
          <w:b w:val="0"/>
          <w:i w:val="0"/>
          <w:szCs w:val="24"/>
          <w:lang w:val="en-GB"/>
        </w:rPr>
        <w:t>,</w:t>
      </w:r>
      <w:r w:rsidRPr="00687500">
        <w:rPr>
          <w:rFonts w:ascii="Arial" w:hAnsi="Arial" w:cs="Arial"/>
          <w:b w:val="0"/>
          <w:i w:val="0"/>
          <w:szCs w:val="24"/>
          <w:lang w:val="en-GB"/>
        </w:rPr>
        <w:t xml:space="preserve"> form</w:t>
      </w:r>
      <w:r w:rsidR="008B77E1">
        <w:rPr>
          <w:rFonts w:ascii="Arial" w:hAnsi="Arial" w:cs="Arial"/>
          <w:b w:val="0"/>
          <w:i w:val="0"/>
          <w:szCs w:val="24"/>
          <w:lang w:val="en-GB"/>
        </w:rPr>
        <w:t>ula grant (which was funded from</w:t>
      </w:r>
      <w:r w:rsidRPr="00687500">
        <w:rPr>
          <w:rFonts w:ascii="Arial" w:hAnsi="Arial" w:cs="Arial"/>
          <w:b w:val="0"/>
          <w:i w:val="0"/>
          <w:szCs w:val="24"/>
          <w:lang w:val="en-GB"/>
        </w:rPr>
        <w:t xml:space="preserve"> the business rate pot and a government RSG top up) was replaced by the current system</w:t>
      </w:r>
      <w:r w:rsidR="00CB5C90" w:rsidRPr="00687500">
        <w:rPr>
          <w:rFonts w:ascii="Arial" w:hAnsi="Arial" w:cs="Arial"/>
          <w:b w:val="0"/>
          <w:i w:val="0"/>
          <w:szCs w:val="24"/>
          <w:lang w:val="en-GB"/>
        </w:rPr>
        <w:t>,</w:t>
      </w:r>
      <w:r w:rsidRPr="00687500">
        <w:rPr>
          <w:rFonts w:ascii="Arial" w:hAnsi="Arial" w:cs="Arial"/>
          <w:b w:val="0"/>
          <w:i w:val="0"/>
          <w:szCs w:val="24"/>
          <w:lang w:val="en-GB"/>
        </w:rPr>
        <w:t xml:space="preserve"> which comprises:</w:t>
      </w:r>
    </w:p>
    <w:p w:rsidR="006A69A1" w:rsidRPr="00687500" w:rsidRDefault="006A69A1" w:rsidP="00C560F7">
      <w:pPr>
        <w:pStyle w:val="BodyText3"/>
        <w:jc w:val="both"/>
        <w:rPr>
          <w:rFonts w:ascii="Arial" w:hAnsi="Arial" w:cs="Arial"/>
          <w:b w:val="0"/>
          <w:i w:val="0"/>
          <w:szCs w:val="24"/>
          <w:lang w:val="en-GB"/>
        </w:rPr>
      </w:pPr>
    </w:p>
    <w:p w:rsidR="006A69A1" w:rsidRPr="00687500" w:rsidRDefault="006A69A1" w:rsidP="00295AF2">
      <w:pPr>
        <w:pStyle w:val="BodyText3"/>
        <w:numPr>
          <w:ilvl w:val="1"/>
          <w:numId w:val="25"/>
        </w:numPr>
        <w:jc w:val="both"/>
        <w:rPr>
          <w:rFonts w:ascii="Arial" w:hAnsi="Arial" w:cs="Arial"/>
          <w:b w:val="0"/>
          <w:i w:val="0"/>
          <w:szCs w:val="24"/>
          <w:lang w:val="en-GB"/>
        </w:rPr>
      </w:pPr>
      <w:r w:rsidRPr="00687500">
        <w:rPr>
          <w:rFonts w:ascii="Arial" w:hAnsi="Arial" w:cs="Arial"/>
          <w:b w:val="0"/>
          <w:i w:val="0"/>
          <w:szCs w:val="24"/>
          <w:lang w:val="en-GB"/>
        </w:rPr>
        <w:t xml:space="preserve">Retention of </w:t>
      </w:r>
      <w:r w:rsidR="00816358" w:rsidRPr="00687500">
        <w:rPr>
          <w:rFonts w:ascii="Arial" w:hAnsi="Arial" w:cs="Arial"/>
          <w:b w:val="0"/>
          <w:i w:val="0"/>
          <w:szCs w:val="24"/>
          <w:lang w:val="en-GB"/>
        </w:rPr>
        <w:t>a percentage</w:t>
      </w:r>
      <w:r w:rsidRPr="00687500">
        <w:rPr>
          <w:rFonts w:ascii="Arial" w:hAnsi="Arial" w:cs="Arial"/>
          <w:b w:val="0"/>
          <w:i w:val="0"/>
          <w:szCs w:val="24"/>
          <w:lang w:val="en-GB"/>
        </w:rPr>
        <w:t xml:space="preserve"> of local rates</w:t>
      </w:r>
      <w:r w:rsidR="00CB5C90" w:rsidRPr="00687500">
        <w:rPr>
          <w:rFonts w:ascii="Arial" w:hAnsi="Arial" w:cs="Arial"/>
          <w:b w:val="0"/>
          <w:i w:val="0"/>
          <w:szCs w:val="24"/>
          <w:lang w:val="en-GB"/>
        </w:rPr>
        <w:t>,</w:t>
      </w:r>
    </w:p>
    <w:p w:rsidR="006A69A1" w:rsidRPr="00687500" w:rsidRDefault="00CB5C90" w:rsidP="00295AF2">
      <w:pPr>
        <w:pStyle w:val="BodyText3"/>
        <w:numPr>
          <w:ilvl w:val="1"/>
          <w:numId w:val="25"/>
        </w:numPr>
        <w:jc w:val="both"/>
        <w:rPr>
          <w:rFonts w:ascii="Arial" w:hAnsi="Arial" w:cs="Arial"/>
          <w:b w:val="0"/>
          <w:i w:val="0"/>
          <w:szCs w:val="24"/>
          <w:lang w:val="en-GB"/>
        </w:rPr>
      </w:pPr>
      <w:r w:rsidRPr="00687500">
        <w:rPr>
          <w:rFonts w:ascii="Arial" w:hAnsi="Arial" w:cs="Arial"/>
          <w:b w:val="0"/>
          <w:i w:val="0"/>
          <w:szCs w:val="24"/>
          <w:lang w:val="en-GB"/>
        </w:rPr>
        <w:t>a</w:t>
      </w:r>
      <w:r w:rsidR="006A69A1" w:rsidRPr="00687500">
        <w:rPr>
          <w:rFonts w:ascii="Arial" w:hAnsi="Arial" w:cs="Arial"/>
          <w:b w:val="0"/>
          <w:i w:val="0"/>
          <w:szCs w:val="24"/>
          <w:lang w:val="en-GB"/>
        </w:rPr>
        <w:t xml:space="preserve"> top up or tariff</w:t>
      </w:r>
      <w:r w:rsidRPr="00687500">
        <w:rPr>
          <w:rFonts w:ascii="Arial" w:hAnsi="Arial" w:cs="Arial"/>
          <w:b w:val="0"/>
          <w:i w:val="0"/>
          <w:szCs w:val="24"/>
          <w:lang w:val="en-GB"/>
        </w:rPr>
        <w:t xml:space="preserve"> and</w:t>
      </w:r>
    </w:p>
    <w:p w:rsidR="006A69A1" w:rsidRPr="00687500" w:rsidRDefault="006A69A1" w:rsidP="00295AF2">
      <w:pPr>
        <w:pStyle w:val="BodyText3"/>
        <w:numPr>
          <w:ilvl w:val="1"/>
          <w:numId w:val="25"/>
        </w:numPr>
        <w:jc w:val="both"/>
        <w:rPr>
          <w:rFonts w:ascii="Arial" w:hAnsi="Arial" w:cs="Arial"/>
          <w:b w:val="0"/>
          <w:i w:val="0"/>
          <w:szCs w:val="24"/>
          <w:lang w:val="en-GB"/>
        </w:rPr>
      </w:pPr>
      <w:r w:rsidRPr="00687500">
        <w:rPr>
          <w:rFonts w:ascii="Arial" w:hAnsi="Arial" w:cs="Arial"/>
          <w:b w:val="0"/>
          <w:i w:val="0"/>
          <w:szCs w:val="24"/>
          <w:lang w:val="en-GB"/>
        </w:rPr>
        <w:t>Revenue Support grant</w:t>
      </w:r>
      <w:r w:rsidR="00CB5C90" w:rsidRPr="00687500">
        <w:rPr>
          <w:rFonts w:ascii="Arial" w:hAnsi="Arial" w:cs="Arial"/>
          <w:b w:val="0"/>
          <w:i w:val="0"/>
          <w:szCs w:val="24"/>
          <w:lang w:val="en-GB"/>
        </w:rPr>
        <w:t>.</w:t>
      </w:r>
    </w:p>
    <w:p w:rsidR="006A69A1" w:rsidRPr="00687500" w:rsidRDefault="006A69A1" w:rsidP="00C560F7">
      <w:pPr>
        <w:pStyle w:val="BodyText3"/>
        <w:jc w:val="both"/>
        <w:rPr>
          <w:rFonts w:ascii="Arial" w:hAnsi="Arial" w:cs="Arial"/>
          <w:b w:val="0"/>
          <w:i w:val="0"/>
          <w:szCs w:val="24"/>
          <w:lang w:val="en-GB"/>
        </w:rPr>
      </w:pPr>
    </w:p>
    <w:p w:rsidR="006A69A1" w:rsidRPr="00687500" w:rsidRDefault="00816358" w:rsidP="00295AF2">
      <w:pPr>
        <w:pStyle w:val="BodyText3"/>
        <w:numPr>
          <w:ilvl w:val="1"/>
          <w:numId w:val="17"/>
        </w:numPr>
        <w:jc w:val="both"/>
        <w:rPr>
          <w:rFonts w:ascii="Arial" w:hAnsi="Arial" w:cs="Arial"/>
          <w:b w:val="0"/>
          <w:i w:val="0"/>
          <w:szCs w:val="24"/>
          <w:lang w:val="en-GB"/>
        </w:rPr>
      </w:pPr>
      <w:r w:rsidRPr="00687500">
        <w:rPr>
          <w:rFonts w:ascii="Arial" w:hAnsi="Arial" w:cs="Arial"/>
          <w:b w:val="0"/>
          <w:i w:val="0"/>
          <w:szCs w:val="24"/>
          <w:lang w:val="en-GB"/>
        </w:rPr>
        <w:t xml:space="preserve">Baseline </w:t>
      </w:r>
      <w:r w:rsidR="008B77E1">
        <w:rPr>
          <w:rFonts w:ascii="Arial" w:hAnsi="Arial" w:cs="Arial"/>
          <w:b w:val="0"/>
          <w:i w:val="0"/>
          <w:szCs w:val="24"/>
          <w:lang w:val="en-GB"/>
        </w:rPr>
        <w:t xml:space="preserve">funding </w:t>
      </w:r>
      <w:r w:rsidRPr="00687500">
        <w:rPr>
          <w:rFonts w:ascii="Arial" w:hAnsi="Arial" w:cs="Arial"/>
          <w:b w:val="0"/>
          <w:i w:val="0"/>
          <w:szCs w:val="24"/>
          <w:lang w:val="en-GB"/>
        </w:rPr>
        <w:t xml:space="preserve">allocations of settlement and </w:t>
      </w:r>
      <w:r w:rsidR="00CB5C90" w:rsidRPr="00687500">
        <w:rPr>
          <w:rFonts w:ascii="Arial" w:hAnsi="Arial" w:cs="Arial"/>
          <w:b w:val="0"/>
          <w:i w:val="0"/>
          <w:szCs w:val="24"/>
          <w:lang w:val="en-GB"/>
        </w:rPr>
        <w:t xml:space="preserve">of </w:t>
      </w:r>
      <w:r w:rsidR="008B77E1">
        <w:rPr>
          <w:rFonts w:ascii="Arial" w:hAnsi="Arial" w:cs="Arial"/>
          <w:b w:val="0"/>
          <w:i w:val="0"/>
          <w:szCs w:val="24"/>
          <w:lang w:val="en-GB"/>
        </w:rPr>
        <w:t>Revenue Support Grant</w:t>
      </w:r>
      <w:r w:rsidR="00CB5C90" w:rsidRPr="00687500">
        <w:rPr>
          <w:rFonts w:ascii="Arial" w:hAnsi="Arial" w:cs="Arial"/>
          <w:b w:val="0"/>
          <w:i w:val="0"/>
          <w:szCs w:val="24"/>
          <w:lang w:val="en-GB"/>
        </w:rPr>
        <w:t xml:space="preserve"> were needs based</w:t>
      </w:r>
      <w:r w:rsidR="008B77E1">
        <w:rPr>
          <w:rFonts w:ascii="Arial" w:hAnsi="Arial" w:cs="Arial"/>
          <w:b w:val="0"/>
          <w:i w:val="0"/>
          <w:szCs w:val="24"/>
          <w:lang w:val="en-GB"/>
        </w:rPr>
        <w:t>,</w:t>
      </w:r>
      <w:r w:rsidR="00CB5C90" w:rsidRPr="00687500">
        <w:rPr>
          <w:rFonts w:ascii="Arial" w:hAnsi="Arial" w:cs="Arial"/>
          <w:b w:val="0"/>
          <w:i w:val="0"/>
          <w:szCs w:val="24"/>
          <w:lang w:val="en-GB"/>
        </w:rPr>
        <w:t xml:space="preserve"> </w:t>
      </w:r>
      <w:r w:rsidR="003073FD">
        <w:rPr>
          <w:rFonts w:ascii="Arial" w:hAnsi="Arial" w:cs="Arial"/>
          <w:b w:val="0"/>
          <w:i w:val="0"/>
          <w:szCs w:val="24"/>
          <w:lang w:val="en-GB"/>
        </w:rPr>
        <w:t>using a “fo</w:t>
      </w:r>
      <w:r w:rsidR="005F3CCF">
        <w:rPr>
          <w:rFonts w:ascii="Arial" w:hAnsi="Arial" w:cs="Arial"/>
          <w:b w:val="0"/>
          <w:i w:val="0"/>
          <w:szCs w:val="24"/>
          <w:lang w:val="en-GB"/>
        </w:rPr>
        <w:t>u</w:t>
      </w:r>
      <w:r w:rsidR="003073FD">
        <w:rPr>
          <w:rFonts w:ascii="Arial" w:hAnsi="Arial" w:cs="Arial"/>
          <w:b w:val="0"/>
          <w:i w:val="0"/>
          <w:szCs w:val="24"/>
          <w:lang w:val="en-GB"/>
        </w:rPr>
        <w:t xml:space="preserve">r block model” </w:t>
      </w:r>
      <w:r w:rsidR="00CB5C90" w:rsidRPr="00687500">
        <w:rPr>
          <w:rFonts w:ascii="Arial" w:hAnsi="Arial" w:cs="Arial"/>
          <w:b w:val="0"/>
          <w:i w:val="0"/>
          <w:szCs w:val="24"/>
          <w:lang w:val="en-GB"/>
        </w:rPr>
        <w:t>whilst T</w:t>
      </w:r>
      <w:r w:rsidR="008B77E1">
        <w:rPr>
          <w:rFonts w:ascii="Arial" w:hAnsi="Arial" w:cs="Arial"/>
          <w:b w:val="0"/>
          <w:i w:val="0"/>
          <w:szCs w:val="24"/>
          <w:lang w:val="en-GB"/>
        </w:rPr>
        <w:t>op up and Tariff were</w:t>
      </w:r>
      <w:r w:rsidRPr="00687500">
        <w:rPr>
          <w:rFonts w:ascii="Arial" w:hAnsi="Arial" w:cs="Arial"/>
          <w:b w:val="0"/>
          <w:i w:val="0"/>
          <w:szCs w:val="24"/>
          <w:lang w:val="en-GB"/>
        </w:rPr>
        <w:t xml:space="preserve"> a fiscally neutral payment or charge that </w:t>
      </w:r>
      <w:r w:rsidR="008B77E1">
        <w:rPr>
          <w:rFonts w:ascii="Arial" w:hAnsi="Arial" w:cs="Arial"/>
          <w:b w:val="0"/>
          <w:i w:val="0"/>
          <w:szCs w:val="24"/>
          <w:lang w:val="en-GB"/>
        </w:rPr>
        <w:t>adjusted</w:t>
      </w:r>
      <w:r w:rsidRPr="00687500">
        <w:rPr>
          <w:rFonts w:ascii="Arial" w:hAnsi="Arial" w:cs="Arial"/>
          <w:b w:val="0"/>
          <w:i w:val="0"/>
          <w:szCs w:val="24"/>
          <w:lang w:val="en-GB"/>
        </w:rPr>
        <w:t xml:space="preserve"> each authority’s estimated </w:t>
      </w:r>
      <w:r w:rsidR="008B77E1">
        <w:rPr>
          <w:rFonts w:ascii="Arial" w:hAnsi="Arial" w:cs="Arial"/>
          <w:b w:val="0"/>
          <w:i w:val="0"/>
          <w:szCs w:val="24"/>
          <w:lang w:val="en-GB"/>
        </w:rPr>
        <w:t>local share of rates to a needs-</w:t>
      </w:r>
      <w:r w:rsidRPr="00687500">
        <w:rPr>
          <w:rFonts w:ascii="Arial" w:hAnsi="Arial" w:cs="Arial"/>
          <w:b w:val="0"/>
          <w:i w:val="0"/>
          <w:szCs w:val="24"/>
          <w:lang w:val="en-GB"/>
        </w:rPr>
        <w:t>based share of the overall total.</w:t>
      </w:r>
      <w:r w:rsidR="000A63B2">
        <w:rPr>
          <w:rFonts w:ascii="Arial" w:hAnsi="Arial" w:cs="Arial"/>
          <w:b w:val="0"/>
          <w:i w:val="0"/>
          <w:szCs w:val="24"/>
          <w:lang w:val="en-GB"/>
        </w:rPr>
        <w:t xml:space="preserve"> Needs formula have not been re-assessed since 2012.</w:t>
      </w:r>
    </w:p>
    <w:p w:rsidR="00816358" w:rsidRPr="00687500" w:rsidRDefault="00816358" w:rsidP="00C560F7">
      <w:pPr>
        <w:pStyle w:val="BodyText3"/>
        <w:jc w:val="both"/>
        <w:rPr>
          <w:rFonts w:ascii="Arial" w:hAnsi="Arial" w:cs="Arial"/>
          <w:b w:val="0"/>
          <w:i w:val="0"/>
          <w:szCs w:val="24"/>
          <w:lang w:val="en-GB"/>
        </w:rPr>
      </w:pPr>
    </w:p>
    <w:p w:rsidR="00816358" w:rsidRDefault="000A63B2" w:rsidP="00295AF2">
      <w:pPr>
        <w:pStyle w:val="BodyText3"/>
        <w:numPr>
          <w:ilvl w:val="1"/>
          <w:numId w:val="17"/>
        </w:numPr>
        <w:jc w:val="both"/>
        <w:rPr>
          <w:rFonts w:ascii="Arial" w:hAnsi="Arial" w:cs="Arial"/>
          <w:b w:val="0"/>
          <w:i w:val="0"/>
          <w:szCs w:val="24"/>
          <w:lang w:val="en-GB"/>
        </w:rPr>
      </w:pPr>
      <w:r>
        <w:rPr>
          <w:rFonts w:ascii="Arial" w:hAnsi="Arial" w:cs="Arial"/>
          <w:b w:val="0"/>
          <w:i w:val="0"/>
          <w:szCs w:val="24"/>
          <w:lang w:val="en-GB"/>
        </w:rPr>
        <w:t>Since 2012</w:t>
      </w:r>
      <w:r w:rsidR="00816358" w:rsidRPr="00687500">
        <w:rPr>
          <w:rFonts w:ascii="Arial" w:hAnsi="Arial" w:cs="Arial"/>
          <w:b w:val="0"/>
          <w:i w:val="0"/>
          <w:szCs w:val="24"/>
          <w:lang w:val="en-GB"/>
        </w:rPr>
        <w:t xml:space="preserve">, the full impact of settlement reductions has been borne in Revenue </w:t>
      </w:r>
      <w:r w:rsidR="003073FD">
        <w:rPr>
          <w:rFonts w:ascii="Arial" w:hAnsi="Arial" w:cs="Arial"/>
          <w:b w:val="0"/>
          <w:i w:val="0"/>
          <w:szCs w:val="24"/>
          <w:lang w:val="en-GB"/>
        </w:rPr>
        <w:t>Support G</w:t>
      </w:r>
      <w:r w:rsidR="00816358" w:rsidRPr="00687500">
        <w:rPr>
          <w:rFonts w:ascii="Arial" w:hAnsi="Arial" w:cs="Arial"/>
          <w:b w:val="0"/>
          <w:i w:val="0"/>
          <w:szCs w:val="24"/>
          <w:lang w:val="en-GB"/>
        </w:rPr>
        <w:t>rant</w:t>
      </w:r>
      <w:r>
        <w:rPr>
          <w:rFonts w:ascii="Arial" w:hAnsi="Arial" w:cs="Arial"/>
          <w:b w:val="0"/>
          <w:i w:val="0"/>
          <w:szCs w:val="24"/>
          <w:lang w:val="en-GB"/>
        </w:rPr>
        <w:t xml:space="preserve"> whilst rate share has been preserved</w:t>
      </w:r>
      <w:r w:rsidR="00816358" w:rsidRPr="00687500">
        <w:rPr>
          <w:rFonts w:ascii="Arial" w:hAnsi="Arial" w:cs="Arial"/>
          <w:b w:val="0"/>
          <w:i w:val="0"/>
          <w:szCs w:val="24"/>
          <w:lang w:val="en-GB"/>
        </w:rPr>
        <w:t>, as the following table shows.</w:t>
      </w:r>
    </w:p>
    <w:p w:rsidR="00EE6F7F" w:rsidRDefault="00EE6F7F" w:rsidP="00EE6F7F">
      <w:pPr>
        <w:pStyle w:val="ListParagraph"/>
        <w:rPr>
          <w:rFonts w:ascii="Arial" w:hAnsi="Arial" w:cs="Arial"/>
          <w:b/>
          <w:i/>
          <w:szCs w:val="24"/>
        </w:rPr>
      </w:pPr>
    </w:p>
    <w:p w:rsidR="00EE6F7F" w:rsidRDefault="00EE6F7F" w:rsidP="00EE6F7F">
      <w:pPr>
        <w:pStyle w:val="BodyText3"/>
        <w:ind w:left="360"/>
        <w:jc w:val="both"/>
        <w:rPr>
          <w:rFonts w:ascii="Arial" w:hAnsi="Arial" w:cs="Arial"/>
          <w:b w:val="0"/>
          <w:i w:val="0"/>
          <w:szCs w:val="24"/>
          <w:lang w:val="en-GB"/>
        </w:rPr>
      </w:pPr>
    </w:p>
    <w:p w:rsidR="008B77E1" w:rsidRDefault="008B77E1" w:rsidP="00C560F7">
      <w:pPr>
        <w:pStyle w:val="BodyText3"/>
        <w:jc w:val="both"/>
        <w:rPr>
          <w:rFonts w:ascii="Arial" w:hAnsi="Arial" w:cs="Arial"/>
          <w:b w:val="0"/>
          <w:i w:val="0"/>
          <w:color w:val="943634" w:themeColor="accent2" w:themeShade="BF"/>
          <w:szCs w:val="24"/>
          <w:lang w:val="en-GB"/>
        </w:rPr>
      </w:pPr>
    </w:p>
    <w:p w:rsidR="00CB5C90" w:rsidRPr="00744FC5" w:rsidRDefault="00744FC5" w:rsidP="00EE6F7F">
      <w:pPr>
        <w:pStyle w:val="BodyText3"/>
        <w:ind w:left="360"/>
        <w:jc w:val="both"/>
        <w:rPr>
          <w:rFonts w:ascii="Arial" w:hAnsi="Arial" w:cs="Arial"/>
          <w:b w:val="0"/>
          <w:i w:val="0"/>
          <w:color w:val="943634" w:themeColor="accent2" w:themeShade="BF"/>
          <w:szCs w:val="24"/>
          <w:lang w:val="en-GB"/>
        </w:rPr>
      </w:pPr>
      <w:r w:rsidRPr="00744FC5">
        <w:rPr>
          <w:rFonts w:ascii="Arial" w:hAnsi="Arial" w:cs="Arial"/>
          <w:b w:val="0"/>
          <w:i w:val="0"/>
          <w:color w:val="943634" w:themeColor="accent2" w:themeShade="BF"/>
          <w:szCs w:val="24"/>
          <w:lang w:val="en-GB"/>
        </w:rPr>
        <w:lastRenderedPageBreak/>
        <w:t>Changes in Rate share and RSG 2013-14 to 2016-17</w:t>
      </w:r>
    </w:p>
    <w:p w:rsidR="00CB5C90" w:rsidRPr="00687500" w:rsidRDefault="00CB5C90" w:rsidP="00EE6F7F">
      <w:pPr>
        <w:pStyle w:val="BodyText3"/>
        <w:ind w:left="360"/>
        <w:jc w:val="both"/>
        <w:rPr>
          <w:rFonts w:ascii="Arial" w:hAnsi="Arial" w:cs="Arial"/>
          <w:b w:val="0"/>
          <w:i w:val="0"/>
          <w:szCs w:val="24"/>
          <w:lang w:val="en-GB"/>
        </w:rPr>
      </w:pPr>
      <w:r w:rsidRPr="00687500">
        <w:rPr>
          <w:rFonts w:ascii="Arial" w:hAnsi="Arial" w:cs="Arial"/>
          <w:noProof/>
          <w:szCs w:val="24"/>
          <w:lang w:val="en-GB" w:eastAsia="en-GB"/>
        </w:rPr>
        <w:drawing>
          <wp:inline distT="0" distB="0" distL="0" distR="0" wp14:anchorId="680116FE" wp14:editId="0CDC01F7">
            <wp:extent cx="4953000" cy="10123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0" cy="1012353"/>
                    </a:xfrm>
                    <a:prstGeom prst="rect">
                      <a:avLst/>
                    </a:prstGeom>
                    <a:noFill/>
                    <a:ln>
                      <a:noFill/>
                    </a:ln>
                  </pic:spPr>
                </pic:pic>
              </a:graphicData>
            </a:graphic>
          </wp:inline>
        </w:drawing>
      </w:r>
    </w:p>
    <w:p w:rsidR="006A69A1" w:rsidRPr="00687500" w:rsidRDefault="006A69A1" w:rsidP="00C560F7">
      <w:pPr>
        <w:pStyle w:val="BodyText3"/>
        <w:jc w:val="both"/>
        <w:rPr>
          <w:rFonts w:ascii="Arial" w:hAnsi="Arial" w:cs="Arial"/>
          <w:b w:val="0"/>
          <w:i w:val="0"/>
          <w:szCs w:val="24"/>
          <w:lang w:val="en-GB"/>
        </w:rPr>
      </w:pPr>
    </w:p>
    <w:p w:rsidR="00CB5C90" w:rsidRPr="00687500" w:rsidRDefault="000A63B2" w:rsidP="00295AF2">
      <w:pPr>
        <w:pStyle w:val="BodyText3"/>
        <w:numPr>
          <w:ilvl w:val="1"/>
          <w:numId w:val="17"/>
        </w:numPr>
        <w:jc w:val="both"/>
        <w:rPr>
          <w:rFonts w:ascii="Arial" w:hAnsi="Arial" w:cs="Arial"/>
          <w:b w:val="0"/>
          <w:i w:val="0"/>
          <w:szCs w:val="24"/>
          <w:lang w:val="en-GB"/>
        </w:rPr>
      </w:pPr>
      <w:r>
        <w:rPr>
          <w:rFonts w:ascii="Arial" w:hAnsi="Arial" w:cs="Arial"/>
          <w:b w:val="0"/>
          <w:i w:val="0"/>
          <w:szCs w:val="24"/>
          <w:lang w:val="en-GB"/>
        </w:rPr>
        <w:t>It can be seen that</w:t>
      </w:r>
      <w:r w:rsidR="003073FD">
        <w:rPr>
          <w:rFonts w:ascii="Arial" w:hAnsi="Arial" w:cs="Arial"/>
          <w:b w:val="0"/>
          <w:i w:val="0"/>
          <w:szCs w:val="24"/>
          <w:lang w:val="en-GB"/>
        </w:rPr>
        <w:t xml:space="preserve"> Revenue S</w:t>
      </w:r>
      <w:r w:rsidR="00CB5C90" w:rsidRPr="00687500">
        <w:rPr>
          <w:rFonts w:ascii="Arial" w:hAnsi="Arial" w:cs="Arial"/>
          <w:b w:val="0"/>
          <w:i w:val="0"/>
          <w:szCs w:val="24"/>
          <w:lang w:val="en-GB"/>
        </w:rPr>
        <w:t>upport grant</w:t>
      </w:r>
      <w:r>
        <w:rPr>
          <w:rFonts w:ascii="Arial" w:hAnsi="Arial" w:cs="Arial"/>
          <w:b w:val="0"/>
          <w:i w:val="0"/>
          <w:szCs w:val="24"/>
          <w:lang w:val="en-GB"/>
        </w:rPr>
        <w:t>,</w:t>
      </w:r>
      <w:r w:rsidR="00CB5C90" w:rsidRPr="00687500">
        <w:rPr>
          <w:rFonts w:ascii="Arial" w:hAnsi="Arial" w:cs="Arial"/>
          <w:b w:val="0"/>
          <w:i w:val="0"/>
          <w:szCs w:val="24"/>
          <w:lang w:val="en-GB"/>
        </w:rPr>
        <w:t xml:space="preserve"> wh</w:t>
      </w:r>
      <w:r w:rsidR="000335B2">
        <w:rPr>
          <w:rFonts w:ascii="Arial" w:hAnsi="Arial" w:cs="Arial"/>
          <w:b w:val="0"/>
          <w:i w:val="0"/>
          <w:szCs w:val="24"/>
          <w:lang w:val="en-GB"/>
        </w:rPr>
        <w:t xml:space="preserve">ich is an allocation based on </w:t>
      </w:r>
      <w:r w:rsidR="00CB5C90" w:rsidRPr="00687500">
        <w:rPr>
          <w:rFonts w:ascii="Arial" w:hAnsi="Arial" w:cs="Arial"/>
          <w:b w:val="0"/>
          <w:i w:val="0"/>
          <w:szCs w:val="24"/>
          <w:lang w:val="en-GB"/>
        </w:rPr>
        <w:t>2012 baseline needs</w:t>
      </w:r>
      <w:r>
        <w:rPr>
          <w:rFonts w:ascii="Arial" w:hAnsi="Arial" w:cs="Arial"/>
          <w:b w:val="0"/>
          <w:i w:val="0"/>
          <w:szCs w:val="24"/>
          <w:lang w:val="en-GB"/>
        </w:rPr>
        <w:t>,</w:t>
      </w:r>
      <w:r w:rsidR="00CB5C90" w:rsidRPr="00687500">
        <w:rPr>
          <w:rFonts w:ascii="Arial" w:hAnsi="Arial" w:cs="Arial"/>
          <w:b w:val="0"/>
          <w:i w:val="0"/>
          <w:szCs w:val="24"/>
          <w:lang w:val="en-GB"/>
        </w:rPr>
        <w:t xml:space="preserve"> has carried the full impact, not only of government cuts to funding but </w:t>
      </w:r>
      <w:r w:rsidR="003073FD">
        <w:rPr>
          <w:rFonts w:ascii="Arial" w:hAnsi="Arial" w:cs="Arial"/>
          <w:b w:val="0"/>
          <w:i w:val="0"/>
          <w:szCs w:val="24"/>
          <w:lang w:val="en-GB"/>
        </w:rPr>
        <w:t xml:space="preserve">also of </w:t>
      </w:r>
      <w:r w:rsidR="00CB5C90" w:rsidRPr="00687500">
        <w:rPr>
          <w:rFonts w:ascii="Arial" w:hAnsi="Arial" w:cs="Arial"/>
          <w:b w:val="0"/>
          <w:i w:val="0"/>
          <w:szCs w:val="24"/>
          <w:lang w:val="en-GB"/>
        </w:rPr>
        <w:t>amounts topsliced by DC</w:t>
      </w:r>
      <w:r>
        <w:rPr>
          <w:rFonts w:ascii="Arial" w:hAnsi="Arial" w:cs="Arial"/>
          <w:b w:val="0"/>
          <w:i w:val="0"/>
          <w:szCs w:val="24"/>
          <w:lang w:val="en-GB"/>
        </w:rPr>
        <w:t>LG</w:t>
      </w:r>
      <w:r w:rsidR="003073FD">
        <w:rPr>
          <w:rFonts w:ascii="Arial" w:hAnsi="Arial" w:cs="Arial"/>
          <w:b w:val="0"/>
          <w:i w:val="0"/>
          <w:szCs w:val="24"/>
          <w:lang w:val="en-GB"/>
        </w:rPr>
        <w:t xml:space="preserve"> such as</w:t>
      </w:r>
      <w:r w:rsidR="00CB5C90" w:rsidRPr="00687500">
        <w:rPr>
          <w:rFonts w:ascii="Arial" w:hAnsi="Arial" w:cs="Arial"/>
          <w:b w:val="0"/>
          <w:i w:val="0"/>
          <w:szCs w:val="24"/>
          <w:lang w:val="en-GB"/>
        </w:rPr>
        <w:t>:</w:t>
      </w:r>
    </w:p>
    <w:p w:rsidR="00CB5C90" w:rsidRPr="00687500" w:rsidRDefault="00CB5C90" w:rsidP="00295AF2">
      <w:pPr>
        <w:pStyle w:val="BodyText3"/>
        <w:jc w:val="both"/>
        <w:rPr>
          <w:rFonts w:ascii="Arial" w:hAnsi="Arial" w:cs="Arial"/>
          <w:b w:val="0"/>
          <w:i w:val="0"/>
          <w:szCs w:val="24"/>
          <w:lang w:val="en-GB"/>
        </w:rPr>
      </w:pPr>
    </w:p>
    <w:p w:rsidR="00CB5C90" w:rsidRPr="00687500" w:rsidRDefault="00CB5C90" w:rsidP="00295AF2">
      <w:pPr>
        <w:pStyle w:val="BodyText3"/>
        <w:numPr>
          <w:ilvl w:val="0"/>
          <w:numId w:val="26"/>
        </w:numPr>
        <w:jc w:val="both"/>
        <w:rPr>
          <w:rFonts w:ascii="Arial" w:hAnsi="Arial" w:cs="Arial"/>
          <w:b w:val="0"/>
          <w:i w:val="0"/>
          <w:szCs w:val="24"/>
          <w:lang w:val="en-GB"/>
        </w:rPr>
      </w:pPr>
      <w:r w:rsidRPr="00687500">
        <w:rPr>
          <w:rFonts w:ascii="Arial" w:hAnsi="Arial" w:cs="Arial"/>
          <w:b w:val="0"/>
          <w:i w:val="0"/>
          <w:szCs w:val="24"/>
          <w:lang w:val="en-GB"/>
        </w:rPr>
        <w:t>T</w:t>
      </w:r>
      <w:r w:rsidR="003073FD">
        <w:rPr>
          <w:rFonts w:ascii="Arial" w:hAnsi="Arial" w:cs="Arial"/>
          <w:b w:val="0"/>
          <w:i w:val="0"/>
          <w:szCs w:val="24"/>
          <w:lang w:val="en-GB"/>
        </w:rPr>
        <w:t>opslice to</w:t>
      </w:r>
      <w:r w:rsidRPr="00687500">
        <w:rPr>
          <w:rFonts w:ascii="Arial" w:hAnsi="Arial" w:cs="Arial"/>
          <w:b w:val="0"/>
          <w:i w:val="0"/>
          <w:szCs w:val="24"/>
          <w:lang w:val="en-GB"/>
        </w:rPr>
        <w:t xml:space="preserve"> </w:t>
      </w:r>
      <w:r w:rsidR="003073FD">
        <w:rPr>
          <w:rFonts w:ascii="Arial" w:hAnsi="Arial" w:cs="Arial"/>
          <w:b w:val="0"/>
          <w:i w:val="0"/>
          <w:szCs w:val="24"/>
          <w:lang w:val="en-GB"/>
        </w:rPr>
        <w:t xml:space="preserve">fund  New Homes Bonus, in 2016-17 </w:t>
      </w:r>
      <w:r w:rsidR="0065452A" w:rsidRPr="00687500">
        <w:rPr>
          <w:rFonts w:ascii="Arial" w:hAnsi="Arial" w:cs="Arial"/>
          <w:b w:val="0"/>
          <w:i w:val="0"/>
          <w:szCs w:val="24"/>
          <w:lang w:val="en-GB"/>
        </w:rPr>
        <w:t xml:space="preserve"> </w:t>
      </w:r>
      <w:r w:rsidRPr="00687500">
        <w:rPr>
          <w:rFonts w:ascii="Arial" w:hAnsi="Arial" w:cs="Arial"/>
          <w:b w:val="0"/>
          <w:i w:val="0"/>
          <w:szCs w:val="24"/>
          <w:lang w:val="en-GB"/>
        </w:rPr>
        <w:t xml:space="preserve">£1,275 million. </w:t>
      </w:r>
    </w:p>
    <w:p w:rsidR="00CB5C90" w:rsidRPr="00687500" w:rsidRDefault="00CB5C90" w:rsidP="00295AF2">
      <w:pPr>
        <w:pStyle w:val="BodyText3"/>
        <w:numPr>
          <w:ilvl w:val="0"/>
          <w:numId w:val="26"/>
        </w:numPr>
        <w:jc w:val="both"/>
        <w:rPr>
          <w:rFonts w:ascii="Arial" w:hAnsi="Arial" w:cs="Arial"/>
          <w:b w:val="0"/>
          <w:i w:val="0"/>
          <w:szCs w:val="24"/>
          <w:lang w:val="en-GB"/>
        </w:rPr>
      </w:pPr>
      <w:r w:rsidRPr="00687500">
        <w:rPr>
          <w:rFonts w:ascii="Arial" w:hAnsi="Arial" w:cs="Arial"/>
          <w:b w:val="0"/>
          <w:i w:val="0"/>
          <w:szCs w:val="24"/>
          <w:lang w:val="en-GB"/>
        </w:rPr>
        <w:t>The inflationary growth in local share of busines</w:t>
      </w:r>
      <w:r w:rsidR="0065452A" w:rsidRPr="00687500">
        <w:rPr>
          <w:rFonts w:ascii="Arial" w:hAnsi="Arial" w:cs="Arial"/>
          <w:b w:val="0"/>
          <w:i w:val="0"/>
          <w:szCs w:val="24"/>
          <w:lang w:val="en-GB"/>
        </w:rPr>
        <w:t xml:space="preserve">s rates, </w:t>
      </w:r>
      <w:r w:rsidR="003073FD">
        <w:rPr>
          <w:rFonts w:ascii="Arial" w:hAnsi="Arial" w:cs="Arial"/>
          <w:b w:val="0"/>
          <w:i w:val="0"/>
          <w:szCs w:val="24"/>
          <w:lang w:val="en-GB"/>
        </w:rPr>
        <w:t>£517 million by 2016-17</w:t>
      </w:r>
      <w:r w:rsidR="0065452A" w:rsidRPr="00687500">
        <w:rPr>
          <w:rFonts w:ascii="Arial" w:hAnsi="Arial" w:cs="Arial"/>
          <w:b w:val="0"/>
          <w:i w:val="0"/>
          <w:szCs w:val="24"/>
          <w:lang w:val="en-GB"/>
        </w:rPr>
        <w:t>.</w:t>
      </w:r>
    </w:p>
    <w:p w:rsidR="0065452A" w:rsidRPr="00687500" w:rsidRDefault="0065452A" w:rsidP="00295AF2">
      <w:pPr>
        <w:pStyle w:val="BodyText3"/>
        <w:numPr>
          <w:ilvl w:val="0"/>
          <w:numId w:val="26"/>
        </w:numPr>
        <w:jc w:val="both"/>
        <w:rPr>
          <w:rFonts w:ascii="Arial" w:hAnsi="Arial" w:cs="Arial"/>
          <w:b w:val="0"/>
          <w:i w:val="0"/>
          <w:szCs w:val="24"/>
          <w:lang w:val="en-GB"/>
        </w:rPr>
      </w:pPr>
      <w:r w:rsidRPr="00687500">
        <w:rPr>
          <w:rFonts w:ascii="Arial" w:hAnsi="Arial" w:cs="Arial"/>
          <w:b w:val="0"/>
          <w:i w:val="0"/>
          <w:szCs w:val="24"/>
          <w:lang w:val="en-GB"/>
        </w:rPr>
        <w:t>Estimated Safety Net costs for authorities whose retained</w:t>
      </w:r>
      <w:r w:rsidR="008B77E1">
        <w:rPr>
          <w:rFonts w:ascii="Arial" w:hAnsi="Arial" w:cs="Arial"/>
          <w:b w:val="0"/>
          <w:i w:val="0"/>
          <w:szCs w:val="24"/>
          <w:lang w:val="en-GB"/>
        </w:rPr>
        <w:t xml:space="preserve"> income falls below 92.5% of their individual</w:t>
      </w:r>
      <w:r w:rsidRPr="00687500">
        <w:rPr>
          <w:rFonts w:ascii="Arial" w:hAnsi="Arial" w:cs="Arial"/>
          <w:b w:val="0"/>
          <w:i w:val="0"/>
          <w:szCs w:val="24"/>
          <w:lang w:val="en-GB"/>
        </w:rPr>
        <w:t xml:space="preserve"> baseline needs.</w:t>
      </w:r>
    </w:p>
    <w:p w:rsidR="0065452A" w:rsidRDefault="0065452A" w:rsidP="00C560F7">
      <w:pPr>
        <w:pStyle w:val="BodyText3"/>
        <w:jc w:val="both"/>
        <w:rPr>
          <w:rFonts w:ascii="Arial" w:hAnsi="Arial" w:cs="Arial"/>
          <w:b w:val="0"/>
          <w:i w:val="0"/>
          <w:szCs w:val="24"/>
          <w:lang w:val="en-GB"/>
        </w:rPr>
      </w:pPr>
    </w:p>
    <w:p w:rsidR="005F3CCF" w:rsidRPr="005F3CCF" w:rsidRDefault="005F3CCF" w:rsidP="00EE6F7F">
      <w:pPr>
        <w:pStyle w:val="BodyText3"/>
        <w:ind w:left="360"/>
        <w:jc w:val="both"/>
        <w:rPr>
          <w:rFonts w:ascii="Arial" w:hAnsi="Arial" w:cs="Arial"/>
          <w:b w:val="0"/>
          <w:color w:val="943634" w:themeColor="accent2" w:themeShade="BF"/>
          <w:szCs w:val="24"/>
          <w:lang w:val="en-GB"/>
        </w:rPr>
      </w:pPr>
      <w:r w:rsidRPr="005F3CCF">
        <w:rPr>
          <w:rFonts w:ascii="Arial" w:hAnsi="Arial" w:cs="Arial"/>
          <w:b w:val="0"/>
          <w:color w:val="943634" w:themeColor="accent2" w:themeShade="BF"/>
          <w:szCs w:val="24"/>
          <w:lang w:val="en-GB"/>
        </w:rPr>
        <w:t>Needs are not being re-evaluated</w:t>
      </w:r>
    </w:p>
    <w:p w:rsidR="0065452A" w:rsidRPr="00687500" w:rsidRDefault="0065452A" w:rsidP="00295AF2">
      <w:pPr>
        <w:pStyle w:val="BodyText3"/>
        <w:numPr>
          <w:ilvl w:val="1"/>
          <w:numId w:val="17"/>
        </w:numPr>
        <w:jc w:val="both"/>
        <w:rPr>
          <w:rFonts w:ascii="Arial" w:hAnsi="Arial" w:cs="Arial"/>
          <w:b w:val="0"/>
          <w:i w:val="0"/>
          <w:szCs w:val="24"/>
          <w:lang w:val="en-GB"/>
        </w:rPr>
      </w:pPr>
      <w:r w:rsidRPr="00687500">
        <w:rPr>
          <w:rFonts w:ascii="Arial" w:hAnsi="Arial" w:cs="Arial"/>
          <w:b w:val="0"/>
          <w:i w:val="0"/>
          <w:szCs w:val="24"/>
          <w:lang w:val="en-GB"/>
        </w:rPr>
        <w:t>The original rate retention model was designed to have a re-set of needs at 2020. We submitted at the time that this was too long a period. In the years</w:t>
      </w:r>
      <w:r w:rsidR="000335B2">
        <w:rPr>
          <w:rFonts w:ascii="Arial" w:hAnsi="Arial" w:cs="Arial"/>
          <w:b w:val="0"/>
          <w:i w:val="0"/>
          <w:szCs w:val="24"/>
          <w:lang w:val="en-GB"/>
        </w:rPr>
        <w:t xml:space="preserve"> between the 2010 and the 2015 Index of Deprivation publications</w:t>
      </w:r>
      <w:r w:rsidR="000A63B2">
        <w:rPr>
          <w:rFonts w:ascii="Arial" w:hAnsi="Arial" w:cs="Arial"/>
          <w:b w:val="0"/>
          <w:i w:val="0"/>
          <w:szCs w:val="24"/>
          <w:lang w:val="en-GB"/>
        </w:rPr>
        <w:t>,</w:t>
      </w:r>
      <w:r w:rsidRPr="00687500">
        <w:rPr>
          <w:rFonts w:ascii="Arial" w:hAnsi="Arial" w:cs="Arial"/>
          <w:b w:val="0"/>
          <w:i w:val="0"/>
          <w:szCs w:val="24"/>
          <w:lang w:val="en-GB"/>
        </w:rPr>
        <w:t xml:space="preserve"> the poorer authorities who we represent have moved further down the depri</w:t>
      </w:r>
      <w:r w:rsidR="000335B2">
        <w:rPr>
          <w:rFonts w:ascii="Arial" w:hAnsi="Arial" w:cs="Arial"/>
          <w:b w:val="0"/>
          <w:i w:val="0"/>
          <w:szCs w:val="24"/>
          <w:lang w:val="en-GB"/>
        </w:rPr>
        <w:t xml:space="preserve">vation rankings with no re-assessment of the change this has made in relative needs </w:t>
      </w:r>
      <w:r w:rsidRPr="00687500">
        <w:rPr>
          <w:rFonts w:ascii="Arial" w:hAnsi="Arial" w:cs="Arial"/>
          <w:b w:val="0"/>
          <w:i w:val="0"/>
          <w:szCs w:val="24"/>
          <w:lang w:val="en-GB"/>
        </w:rPr>
        <w:t>.</w:t>
      </w:r>
    </w:p>
    <w:p w:rsidR="0065452A" w:rsidRPr="00295AF2" w:rsidRDefault="0065452A" w:rsidP="00C560F7">
      <w:pPr>
        <w:pStyle w:val="BodyText3"/>
        <w:jc w:val="both"/>
        <w:rPr>
          <w:rFonts w:ascii="Arial" w:hAnsi="Arial" w:cs="Arial"/>
          <w:i w:val="0"/>
          <w:szCs w:val="24"/>
          <w:lang w:val="en-GB"/>
        </w:rPr>
      </w:pPr>
    </w:p>
    <w:p w:rsidR="0065452A" w:rsidRDefault="0065452A" w:rsidP="00295AF2">
      <w:pPr>
        <w:pStyle w:val="BodyText3"/>
        <w:numPr>
          <w:ilvl w:val="1"/>
          <w:numId w:val="17"/>
        </w:numPr>
        <w:jc w:val="both"/>
        <w:rPr>
          <w:rFonts w:ascii="Arial" w:hAnsi="Arial" w:cs="Arial"/>
          <w:b w:val="0"/>
          <w:i w:val="0"/>
          <w:szCs w:val="24"/>
          <w:lang w:val="en-GB"/>
        </w:rPr>
      </w:pPr>
      <w:r w:rsidRPr="00295AF2">
        <w:rPr>
          <w:rFonts w:ascii="Arial" w:hAnsi="Arial" w:cs="Arial"/>
          <w:i w:val="0"/>
          <w:szCs w:val="24"/>
          <w:lang w:val="en-GB"/>
        </w:rPr>
        <w:t>We would ask the committee to ensure that the introduction of 100% retention is accompanied</w:t>
      </w:r>
      <w:r w:rsidRPr="00687500">
        <w:rPr>
          <w:rFonts w:ascii="Arial" w:hAnsi="Arial" w:cs="Arial"/>
          <w:i w:val="0"/>
          <w:szCs w:val="24"/>
          <w:lang w:val="en-GB"/>
        </w:rPr>
        <w:t xml:space="preserve"> by an assessment of current needs, not only in relation to the additional burdens taken on under the move to 100% retention but in relation to the needs bases allocations established at 2013</w:t>
      </w:r>
      <w:r w:rsidRPr="00687500">
        <w:rPr>
          <w:rFonts w:ascii="Arial" w:hAnsi="Arial" w:cs="Arial"/>
          <w:b w:val="0"/>
          <w:i w:val="0"/>
          <w:szCs w:val="24"/>
          <w:lang w:val="en-GB"/>
        </w:rPr>
        <w:t>.</w:t>
      </w:r>
    </w:p>
    <w:p w:rsidR="004C1F15" w:rsidRDefault="004C1F15" w:rsidP="00C560F7">
      <w:pPr>
        <w:pStyle w:val="BodyText3"/>
        <w:jc w:val="both"/>
        <w:rPr>
          <w:rFonts w:ascii="Arial" w:hAnsi="Arial" w:cs="Arial"/>
          <w:b w:val="0"/>
          <w:i w:val="0"/>
          <w:szCs w:val="24"/>
          <w:lang w:val="en-GB"/>
        </w:rPr>
      </w:pPr>
    </w:p>
    <w:p w:rsidR="003073FD" w:rsidRDefault="004C1F15" w:rsidP="00295AF2">
      <w:pPr>
        <w:pStyle w:val="BodyText3"/>
        <w:numPr>
          <w:ilvl w:val="1"/>
          <w:numId w:val="17"/>
        </w:numPr>
        <w:jc w:val="both"/>
        <w:rPr>
          <w:rFonts w:ascii="Arial" w:hAnsi="Arial" w:cs="Arial"/>
          <w:i w:val="0"/>
          <w:szCs w:val="24"/>
          <w:lang w:val="en-GB"/>
        </w:rPr>
      </w:pPr>
      <w:r w:rsidRPr="004C1F15">
        <w:rPr>
          <w:rFonts w:ascii="Arial" w:hAnsi="Arial" w:cs="Arial"/>
          <w:i w:val="0"/>
          <w:szCs w:val="24"/>
          <w:lang w:val="en-GB"/>
        </w:rPr>
        <w:t xml:space="preserve">We further suggest the cessation of the practice of tops-slices for </w:t>
      </w:r>
      <w:r>
        <w:rPr>
          <w:rFonts w:ascii="Arial" w:hAnsi="Arial" w:cs="Arial"/>
          <w:i w:val="0"/>
          <w:szCs w:val="24"/>
          <w:lang w:val="en-GB"/>
        </w:rPr>
        <w:t xml:space="preserve">specific </w:t>
      </w:r>
      <w:r w:rsidRPr="004C1F15">
        <w:rPr>
          <w:rFonts w:ascii="Arial" w:hAnsi="Arial" w:cs="Arial"/>
          <w:i w:val="0"/>
          <w:szCs w:val="24"/>
          <w:lang w:val="en-GB"/>
        </w:rPr>
        <w:t>gr</w:t>
      </w:r>
      <w:r>
        <w:rPr>
          <w:rFonts w:ascii="Arial" w:hAnsi="Arial" w:cs="Arial"/>
          <w:i w:val="0"/>
          <w:szCs w:val="24"/>
          <w:lang w:val="en-GB"/>
        </w:rPr>
        <w:t>ants such as New Homes Bonus,</w:t>
      </w:r>
      <w:r w:rsidRPr="004C1F15">
        <w:rPr>
          <w:rFonts w:ascii="Arial" w:hAnsi="Arial" w:cs="Arial"/>
          <w:i w:val="0"/>
          <w:szCs w:val="24"/>
          <w:lang w:val="en-GB"/>
        </w:rPr>
        <w:t xml:space="preserve"> inflation on business rates</w:t>
      </w:r>
      <w:r w:rsidR="000335B2">
        <w:rPr>
          <w:rFonts w:ascii="Arial" w:hAnsi="Arial" w:cs="Arial"/>
          <w:i w:val="0"/>
          <w:szCs w:val="24"/>
          <w:lang w:val="en-GB"/>
        </w:rPr>
        <w:t xml:space="preserve"> and Safety n</w:t>
      </w:r>
      <w:r>
        <w:rPr>
          <w:rFonts w:ascii="Arial" w:hAnsi="Arial" w:cs="Arial"/>
          <w:i w:val="0"/>
          <w:szCs w:val="24"/>
          <w:lang w:val="en-GB"/>
        </w:rPr>
        <w:t>et</w:t>
      </w:r>
      <w:r w:rsidR="003073FD">
        <w:rPr>
          <w:rFonts w:ascii="Arial" w:hAnsi="Arial" w:cs="Arial"/>
          <w:i w:val="0"/>
          <w:szCs w:val="24"/>
          <w:lang w:val="en-GB"/>
        </w:rPr>
        <w:t>.</w:t>
      </w:r>
    </w:p>
    <w:p w:rsidR="000A63B2" w:rsidRPr="004C1F15" w:rsidRDefault="000A63B2" w:rsidP="00C560F7">
      <w:pPr>
        <w:pStyle w:val="BodyText3"/>
        <w:jc w:val="both"/>
        <w:rPr>
          <w:rFonts w:ascii="Arial" w:hAnsi="Arial" w:cs="Arial"/>
          <w:i w:val="0"/>
          <w:szCs w:val="24"/>
          <w:lang w:val="en-GB"/>
        </w:rPr>
      </w:pPr>
    </w:p>
    <w:p w:rsidR="0065452A" w:rsidRPr="00687500" w:rsidRDefault="0065452A" w:rsidP="00C560F7">
      <w:pPr>
        <w:pStyle w:val="BodyText3"/>
        <w:jc w:val="both"/>
        <w:rPr>
          <w:rFonts w:ascii="Arial" w:hAnsi="Arial" w:cs="Arial"/>
          <w:b w:val="0"/>
          <w:i w:val="0"/>
          <w:szCs w:val="24"/>
          <w:lang w:val="en-GB"/>
        </w:rPr>
      </w:pPr>
    </w:p>
    <w:p w:rsidR="005F3CCF" w:rsidRPr="00EE6F7F" w:rsidRDefault="005F3CCF" w:rsidP="00EE6F7F">
      <w:pPr>
        <w:pStyle w:val="ListParagraph"/>
        <w:ind w:left="360"/>
        <w:rPr>
          <w:rFonts w:ascii="Arial" w:hAnsi="Arial" w:cs="Arial"/>
          <w:i/>
          <w:color w:val="943634" w:themeColor="accent2" w:themeShade="BF"/>
          <w:sz w:val="24"/>
          <w:szCs w:val="24"/>
        </w:rPr>
      </w:pPr>
      <w:r w:rsidRPr="00EE6F7F">
        <w:rPr>
          <w:rFonts w:ascii="Arial" w:hAnsi="Arial" w:cs="Arial"/>
          <w:i/>
          <w:color w:val="943634" w:themeColor="accent2" w:themeShade="BF"/>
          <w:sz w:val="24"/>
          <w:szCs w:val="24"/>
        </w:rPr>
        <w:t>Spending Power does not include up to date rate estimates</w:t>
      </w:r>
    </w:p>
    <w:p w:rsidR="004C1F15" w:rsidRPr="00EE6F7F" w:rsidRDefault="00687500" w:rsidP="00295AF2">
      <w:pPr>
        <w:pStyle w:val="ListParagraph"/>
        <w:numPr>
          <w:ilvl w:val="0"/>
          <w:numId w:val="17"/>
        </w:numPr>
        <w:rPr>
          <w:rFonts w:ascii="Arial" w:hAnsi="Arial" w:cs="Arial"/>
          <w:sz w:val="24"/>
          <w:szCs w:val="24"/>
        </w:rPr>
      </w:pPr>
      <w:r w:rsidRPr="00EE6F7F">
        <w:rPr>
          <w:rFonts w:ascii="Arial" w:hAnsi="Arial" w:cs="Arial"/>
          <w:sz w:val="24"/>
          <w:szCs w:val="24"/>
        </w:rPr>
        <w:t>The Governments preferred headline measurement of local authority finance is Core Spending Power</w:t>
      </w:r>
      <w:r w:rsidR="000335B2">
        <w:rPr>
          <w:rStyle w:val="FootnoteReference"/>
          <w:rFonts w:ascii="Arial" w:hAnsi="Arial" w:cs="Arial"/>
          <w:sz w:val="24"/>
          <w:szCs w:val="24"/>
        </w:rPr>
        <w:footnoteReference w:id="4"/>
      </w:r>
      <w:r w:rsidRPr="00EE6F7F">
        <w:rPr>
          <w:rFonts w:ascii="Arial" w:hAnsi="Arial" w:cs="Arial"/>
          <w:sz w:val="24"/>
          <w:szCs w:val="24"/>
        </w:rPr>
        <w:t xml:space="preserve">. </w:t>
      </w:r>
    </w:p>
    <w:p w:rsidR="004C1F15" w:rsidRDefault="004C1F15">
      <w:pPr>
        <w:rPr>
          <w:rFonts w:ascii="Arial" w:hAnsi="Arial" w:cs="Arial"/>
          <w:sz w:val="24"/>
          <w:szCs w:val="24"/>
        </w:rPr>
      </w:pPr>
    </w:p>
    <w:p w:rsidR="004C1F15" w:rsidRPr="00EE6F7F" w:rsidRDefault="00687500" w:rsidP="00295AF2">
      <w:pPr>
        <w:pStyle w:val="ListParagraph"/>
        <w:numPr>
          <w:ilvl w:val="1"/>
          <w:numId w:val="17"/>
        </w:numPr>
        <w:rPr>
          <w:rFonts w:ascii="Arial" w:hAnsi="Arial" w:cs="Arial"/>
          <w:sz w:val="24"/>
          <w:szCs w:val="24"/>
        </w:rPr>
      </w:pPr>
      <w:r w:rsidRPr="00EE6F7F">
        <w:rPr>
          <w:rFonts w:ascii="Arial" w:hAnsi="Arial" w:cs="Arial"/>
          <w:sz w:val="24"/>
          <w:szCs w:val="24"/>
        </w:rPr>
        <w:t xml:space="preserve">Authorities </w:t>
      </w:r>
      <w:r w:rsidR="004C1F15" w:rsidRPr="00EE6F7F">
        <w:rPr>
          <w:rFonts w:ascii="Arial" w:hAnsi="Arial" w:cs="Arial"/>
          <w:sz w:val="24"/>
          <w:szCs w:val="24"/>
        </w:rPr>
        <w:t xml:space="preserve">and the LGA </w:t>
      </w:r>
      <w:r w:rsidRPr="00EE6F7F">
        <w:rPr>
          <w:rFonts w:ascii="Arial" w:hAnsi="Arial" w:cs="Arial"/>
          <w:sz w:val="24"/>
          <w:szCs w:val="24"/>
        </w:rPr>
        <w:t xml:space="preserve">have </w:t>
      </w:r>
      <w:r w:rsidR="000A63B2" w:rsidRPr="00EE6F7F">
        <w:rPr>
          <w:rFonts w:ascii="Arial" w:hAnsi="Arial" w:cs="Arial"/>
          <w:sz w:val="24"/>
          <w:szCs w:val="24"/>
        </w:rPr>
        <w:t xml:space="preserve">in the past </w:t>
      </w:r>
      <w:r w:rsidRPr="00EE6F7F">
        <w:rPr>
          <w:rFonts w:ascii="Arial" w:hAnsi="Arial" w:cs="Arial"/>
          <w:sz w:val="24"/>
          <w:szCs w:val="24"/>
        </w:rPr>
        <w:t>expressed views about the flaws in this measure, som</w:t>
      </w:r>
      <w:r w:rsidR="003073FD" w:rsidRPr="00EE6F7F">
        <w:rPr>
          <w:rFonts w:ascii="Arial" w:hAnsi="Arial" w:cs="Arial"/>
          <w:sz w:val="24"/>
          <w:szCs w:val="24"/>
        </w:rPr>
        <w:t>e of w</w:t>
      </w:r>
      <w:r w:rsidR="000335B2" w:rsidRPr="00EE6F7F">
        <w:rPr>
          <w:rFonts w:ascii="Arial" w:hAnsi="Arial" w:cs="Arial"/>
          <w:sz w:val="24"/>
          <w:szCs w:val="24"/>
        </w:rPr>
        <w:t>hich have been addressed in the 2015 S</w:t>
      </w:r>
      <w:r w:rsidR="003073FD" w:rsidRPr="00EE6F7F">
        <w:rPr>
          <w:rFonts w:ascii="Arial" w:hAnsi="Arial" w:cs="Arial"/>
          <w:sz w:val="24"/>
          <w:szCs w:val="24"/>
        </w:rPr>
        <w:t>ettlement</w:t>
      </w:r>
      <w:r w:rsidRPr="00EE6F7F">
        <w:rPr>
          <w:rFonts w:ascii="Arial" w:hAnsi="Arial" w:cs="Arial"/>
          <w:sz w:val="24"/>
          <w:szCs w:val="24"/>
        </w:rPr>
        <w:t xml:space="preserve">. </w:t>
      </w:r>
    </w:p>
    <w:p w:rsidR="004C1F15" w:rsidRDefault="004C1F15">
      <w:pPr>
        <w:rPr>
          <w:rFonts w:ascii="Arial" w:hAnsi="Arial" w:cs="Arial"/>
          <w:sz w:val="24"/>
          <w:szCs w:val="24"/>
        </w:rPr>
      </w:pPr>
    </w:p>
    <w:p w:rsidR="003073FD" w:rsidRPr="00EE6F7F" w:rsidRDefault="00687500" w:rsidP="00295AF2">
      <w:pPr>
        <w:pStyle w:val="ListParagraph"/>
        <w:numPr>
          <w:ilvl w:val="1"/>
          <w:numId w:val="17"/>
        </w:numPr>
        <w:rPr>
          <w:rFonts w:ascii="Arial" w:hAnsi="Arial" w:cs="Arial"/>
          <w:sz w:val="24"/>
          <w:szCs w:val="24"/>
        </w:rPr>
      </w:pPr>
      <w:r w:rsidRPr="00EE6F7F">
        <w:rPr>
          <w:rFonts w:ascii="Arial" w:hAnsi="Arial" w:cs="Arial"/>
          <w:sz w:val="24"/>
          <w:szCs w:val="24"/>
        </w:rPr>
        <w:t>One of the criticisms i</w:t>
      </w:r>
      <w:r w:rsidR="003073FD" w:rsidRPr="00EE6F7F">
        <w:rPr>
          <w:rFonts w:ascii="Arial" w:hAnsi="Arial" w:cs="Arial"/>
          <w:sz w:val="24"/>
          <w:szCs w:val="24"/>
        </w:rPr>
        <w:t>s that the meas</w:t>
      </w:r>
      <w:r w:rsidR="000335B2" w:rsidRPr="00EE6F7F">
        <w:rPr>
          <w:rFonts w:ascii="Arial" w:hAnsi="Arial" w:cs="Arial"/>
          <w:sz w:val="24"/>
          <w:szCs w:val="24"/>
        </w:rPr>
        <w:t xml:space="preserve">ure excludes certain </w:t>
      </w:r>
      <w:r w:rsidRPr="00EE6F7F">
        <w:rPr>
          <w:rFonts w:ascii="Arial" w:hAnsi="Arial" w:cs="Arial"/>
          <w:sz w:val="24"/>
          <w:szCs w:val="24"/>
        </w:rPr>
        <w:t xml:space="preserve">information due to the lack of availability of </w:t>
      </w:r>
      <w:r w:rsidR="004C1F15" w:rsidRPr="00EE6F7F">
        <w:rPr>
          <w:rFonts w:ascii="Arial" w:hAnsi="Arial" w:cs="Arial"/>
          <w:sz w:val="24"/>
          <w:szCs w:val="24"/>
        </w:rPr>
        <w:t xml:space="preserve">that </w:t>
      </w:r>
      <w:r w:rsidRPr="00EE6F7F">
        <w:rPr>
          <w:rFonts w:ascii="Arial" w:hAnsi="Arial" w:cs="Arial"/>
          <w:sz w:val="24"/>
          <w:szCs w:val="24"/>
        </w:rPr>
        <w:t>information at the time of settlement. This is</w:t>
      </w:r>
      <w:r w:rsidR="004C1F15" w:rsidRPr="00EE6F7F">
        <w:rPr>
          <w:rFonts w:ascii="Arial" w:hAnsi="Arial" w:cs="Arial"/>
          <w:sz w:val="24"/>
          <w:szCs w:val="24"/>
        </w:rPr>
        <w:t xml:space="preserve"> a particular problem with the S</w:t>
      </w:r>
      <w:r w:rsidRPr="00EE6F7F">
        <w:rPr>
          <w:rFonts w:ascii="Arial" w:hAnsi="Arial" w:cs="Arial"/>
          <w:sz w:val="24"/>
          <w:szCs w:val="24"/>
        </w:rPr>
        <w:t>ettl</w:t>
      </w:r>
      <w:r w:rsidR="004C1F15" w:rsidRPr="00EE6F7F">
        <w:rPr>
          <w:rFonts w:ascii="Arial" w:hAnsi="Arial" w:cs="Arial"/>
          <w:sz w:val="24"/>
          <w:szCs w:val="24"/>
        </w:rPr>
        <w:t>ement Funding A</w:t>
      </w:r>
      <w:r w:rsidRPr="00EE6F7F">
        <w:rPr>
          <w:rFonts w:ascii="Arial" w:hAnsi="Arial" w:cs="Arial"/>
          <w:sz w:val="24"/>
          <w:szCs w:val="24"/>
        </w:rPr>
        <w:t>llocation which includes business rate retention.</w:t>
      </w:r>
    </w:p>
    <w:p w:rsidR="003073FD" w:rsidRDefault="003073FD">
      <w:pPr>
        <w:rPr>
          <w:rFonts w:ascii="Arial" w:hAnsi="Arial" w:cs="Arial"/>
          <w:sz w:val="24"/>
          <w:szCs w:val="24"/>
        </w:rPr>
      </w:pPr>
    </w:p>
    <w:p w:rsidR="00744FC5" w:rsidRPr="00EE6F7F" w:rsidRDefault="00687500" w:rsidP="00295AF2">
      <w:pPr>
        <w:pStyle w:val="ListParagraph"/>
        <w:numPr>
          <w:ilvl w:val="1"/>
          <w:numId w:val="17"/>
        </w:numPr>
        <w:rPr>
          <w:rFonts w:ascii="Arial" w:hAnsi="Arial" w:cs="Arial"/>
          <w:sz w:val="24"/>
          <w:szCs w:val="24"/>
        </w:rPr>
      </w:pPr>
      <w:r w:rsidRPr="00EE6F7F">
        <w:rPr>
          <w:rFonts w:ascii="Arial" w:hAnsi="Arial" w:cs="Arial"/>
          <w:sz w:val="24"/>
          <w:szCs w:val="24"/>
        </w:rPr>
        <w:t>Government have</w:t>
      </w:r>
      <w:r w:rsidR="003073FD" w:rsidRPr="00EE6F7F">
        <w:rPr>
          <w:rFonts w:ascii="Arial" w:hAnsi="Arial" w:cs="Arial"/>
          <w:sz w:val="24"/>
          <w:szCs w:val="24"/>
        </w:rPr>
        <w:t>,</w:t>
      </w:r>
      <w:r w:rsidRPr="00EE6F7F">
        <w:rPr>
          <w:rFonts w:ascii="Arial" w:hAnsi="Arial" w:cs="Arial"/>
          <w:sz w:val="24"/>
          <w:szCs w:val="24"/>
        </w:rPr>
        <w:t xml:space="preserve"> </w:t>
      </w:r>
      <w:r w:rsidR="004C1F15" w:rsidRPr="00EE6F7F">
        <w:rPr>
          <w:rFonts w:ascii="Arial" w:hAnsi="Arial" w:cs="Arial"/>
          <w:sz w:val="24"/>
          <w:szCs w:val="24"/>
        </w:rPr>
        <w:t>since 2013</w:t>
      </w:r>
      <w:r w:rsidR="003073FD" w:rsidRPr="00EE6F7F">
        <w:rPr>
          <w:rFonts w:ascii="Arial" w:hAnsi="Arial" w:cs="Arial"/>
          <w:sz w:val="24"/>
          <w:szCs w:val="24"/>
        </w:rPr>
        <w:t>,</w:t>
      </w:r>
      <w:r w:rsidR="004C1F15" w:rsidRPr="00EE6F7F">
        <w:rPr>
          <w:rFonts w:ascii="Arial" w:hAnsi="Arial" w:cs="Arial"/>
          <w:sz w:val="24"/>
          <w:szCs w:val="24"/>
        </w:rPr>
        <w:t xml:space="preserve"> </w:t>
      </w:r>
      <w:r w:rsidRPr="00EE6F7F">
        <w:rPr>
          <w:rFonts w:ascii="Arial" w:hAnsi="Arial" w:cs="Arial"/>
          <w:sz w:val="24"/>
          <w:szCs w:val="24"/>
        </w:rPr>
        <w:t xml:space="preserve"> included </w:t>
      </w:r>
      <w:r w:rsidR="008B77E1" w:rsidRPr="00EE6F7F">
        <w:rPr>
          <w:rFonts w:ascii="Arial" w:hAnsi="Arial" w:cs="Arial"/>
          <w:sz w:val="24"/>
          <w:szCs w:val="24"/>
        </w:rPr>
        <w:t xml:space="preserve">in </w:t>
      </w:r>
      <w:r w:rsidRPr="00EE6F7F">
        <w:rPr>
          <w:rFonts w:ascii="Arial" w:hAnsi="Arial" w:cs="Arial"/>
          <w:sz w:val="24"/>
          <w:szCs w:val="24"/>
        </w:rPr>
        <w:t xml:space="preserve">their estimates </w:t>
      </w:r>
      <w:r w:rsidR="008B77E1" w:rsidRPr="00EE6F7F">
        <w:rPr>
          <w:rFonts w:ascii="Arial" w:hAnsi="Arial" w:cs="Arial"/>
          <w:sz w:val="24"/>
          <w:szCs w:val="24"/>
        </w:rPr>
        <w:t xml:space="preserve">of Spending Power </w:t>
      </w:r>
      <w:r w:rsidRPr="00EE6F7F">
        <w:rPr>
          <w:rFonts w:ascii="Arial" w:hAnsi="Arial" w:cs="Arial"/>
          <w:sz w:val="24"/>
          <w:szCs w:val="24"/>
        </w:rPr>
        <w:t xml:space="preserve"> a </w:t>
      </w:r>
      <w:r w:rsidRPr="00EE6F7F">
        <w:rPr>
          <w:rFonts w:ascii="Arial" w:hAnsi="Arial" w:cs="Arial"/>
          <w:sz w:val="24"/>
          <w:szCs w:val="24"/>
          <w:u w:val="single"/>
        </w:rPr>
        <w:t>notional</w:t>
      </w:r>
      <w:r w:rsidRPr="00EE6F7F">
        <w:rPr>
          <w:rFonts w:ascii="Arial" w:hAnsi="Arial" w:cs="Arial"/>
          <w:sz w:val="24"/>
          <w:szCs w:val="24"/>
        </w:rPr>
        <w:t xml:space="preserve"> rate income rather than the actual rate income to which the authority has access.</w:t>
      </w:r>
      <w:r w:rsidR="008B261E" w:rsidRPr="00EE6F7F">
        <w:rPr>
          <w:rFonts w:ascii="Arial" w:hAnsi="Arial" w:cs="Arial"/>
          <w:sz w:val="24"/>
          <w:szCs w:val="24"/>
        </w:rPr>
        <w:t xml:space="preserve"> </w:t>
      </w:r>
    </w:p>
    <w:p w:rsidR="00744FC5" w:rsidRDefault="00744FC5">
      <w:pPr>
        <w:rPr>
          <w:rFonts w:ascii="Arial" w:hAnsi="Arial" w:cs="Arial"/>
          <w:sz w:val="24"/>
          <w:szCs w:val="24"/>
        </w:rPr>
      </w:pPr>
    </w:p>
    <w:p w:rsidR="00914285" w:rsidRPr="00EE6F7F" w:rsidRDefault="008B261E" w:rsidP="00295AF2">
      <w:pPr>
        <w:pStyle w:val="ListParagraph"/>
        <w:numPr>
          <w:ilvl w:val="1"/>
          <w:numId w:val="17"/>
        </w:numPr>
        <w:rPr>
          <w:rFonts w:ascii="Arial" w:hAnsi="Arial" w:cs="Arial"/>
          <w:sz w:val="24"/>
          <w:szCs w:val="24"/>
        </w:rPr>
      </w:pPr>
      <w:r w:rsidRPr="00EE6F7F">
        <w:rPr>
          <w:rFonts w:ascii="Arial" w:hAnsi="Arial" w:cs="Arial"/>
          <w:sz w:val="24"/>
          <w:szCs w:val="24"/>
        </w:rPr>
        <w:t>The fol</w:t>
      </w:r>
      <w:r w:rsidR="003073FD" w:rsidRPr="00EE6F7F">
        <w:rPr>
          <w:rFonts w:ascii="Arial" w:hAnsi="Arial" w:cs="Arial"/>
          <w:sz w:val="24"/>
          <w:szCs w:val="24"/>
        </w:rPr>
        <w:t>lowing table illustrates for each billing authority</w:t>
      </w:r>
      <w:r w:rsidRPr="00EE6F7F">
        <w:rPr>
          <w:rFonts w:ascii="Arial" w:hAnsi="Arial" w:cs="Arial"/>
          <w:sz w:val="24"/>
          <w:szCs w:val="24"/>
        </w:rPr>
        <w:t>, the percentage by which its own estimated rate income varied from DCLG estimates for 2014-15.</w:t>
      </w:r>
    </w:p>
    <w:p w:rsidR="008B77E1" w:rsidRDefault="008B77E1">
      <w:pPr>
        <w:rPr>
          <w:rFonts w:ascii="Arial" w:hAnsi="Arial" w:cs="Arial"/>
          <w:sz w:val="24"/>
          <w:szCs w:val="24"/>
        </w:rPr>
      </w:pPr>
    </w:p>
    <w:p w:rsidR="00EE6F7F" w:rsidRDefault="00EE6F7F" w:rsidP="00EE6F7F">
      <w:pPr>
        <w:rPr>
          <w:rFonts w:ascii="Arial" w:hAnsi="Arial" w:cs="Arial"/>
          <w:color w:val="943634" w:themeColor="accent2" w:themeShade="BF"/>
          <w:sz w:val="24"/>
          <w:szCs w:val="24"/>
        </w:rPr>
      </w:pPr>
    </w:p>
    <w:p w:rsidR="00687500" w:rsidRPr="00EE6F7F" w:rsidRDefault="006C3071" w:rsidP="00EE6F7F">
      <w:pPr>
        <w:rPr>
          <w:rFonts w:ascii="Arial" w:hAnsi="Arial" w:cs="Arial"/>
          <w:color w:val="943634" w:themeColor="accent2" w:themeShade="BF"/>
          <w:sz w:val="24"/>
          <w:szCs w:val="24"/>
        </w:rPr>
      </w:pPr>
      <w:r w:rsidRPr="00EE6F7F">
        <w:rPr>
          <w:rFonts w:ascii="Arial" w:hAnsi="Arial" w:cs="Arial"/>
          <w:color w:val="943634" w:themeColor="accent2" w:themeShade="BF"/>
          <w:sz w:val="24"/>
          <w:szCs w:val="24"/>
        </w:rPr>
        <w:lastRenderedPageBreak/>
        <w:t xml:space="preserve">% </w:t>
      </w:r>
      <w:r w:rsidR="00744FC5" w:rsidRPr="00EE6F7F">
        <w:rPr>
          <w:rFonts w:ascii="Arial" w:hAnsi="Arial" w:cs="Arial"/>
          <w:color w:val="943634" w:themeColor="accent2" w:themeShade="BF"/>
          <w:sz w:val="24"/>
          <w:szCs w:val="24"/>
        </w:rPr>
        <w:t xml:space="preserve">Variation from Estimated Business Rate </w:t>
      </w:r>
      <w:r w:rsidRPr="00EE6F7F">
        <w:rPr>
          <w:rFonts w:ascii="Arial" w:hAnsi="Arial" w:cs="Arial"/>
          <w:color w:val="943634" w:themeColor="accent2" w:themeShade="BF"/>
          <w:sz w:val="24"/>
          <w:szCs w:val="24"/>
        </w:rPr>
        <w:t>Amount by authority - low to high</w:t>
      </w:r>
    </w:p>
    <w:p w:rsidR="00687500" w:rsidRPr="00EE6F7F" w:rsidRDefault="008B261E" w:rsidP="00EE6F7F">
      <w:pPr>
        <w:pStyle w:val="ListParagraph"/>
        <w:ind w:left="360"/>
        <w:rPr>
          <w:rFonts w:ascii="Arial" w:hAnsi="Arial" w:cs="Arial"/>
          <w:sz w:val="24"/>
          <w:szCs w:val="24"/>
        </w:rPr>
      </w:pPr>
      <w:r>
        <w:rPr>
          <w:noProof/>
          <w:lang w:eastAsia="en-GB"/>
        </w:rPr>
        <w:drawing>
          <wp:inline distT="0" distB="0" distL="0" distR="0" wp14:anchorId="6CDDAF09" wp14:editId="0F90D9E5">
            <wp:extent cx="4356100" cy="2298700"/>
            <wp:effectExtent l="0" t="0" r="2540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87500" w:rsidRDefault="00687500">
      <w:pPr>
        <w:rPr>
          <w:rFonts w:ascii="Arial" w:hAnsi="Arial" w:cs="Arial"/>
          <w:sz w:val="24"/>
          <w:szCs w:val="24"/>
        </w:rPr>
      </w:pPr>
    </w:p>
    <w:p w:rsidR="00687500" w:rsidRPr="00EE6F7F" w:rsidRDefault="008B261E" w:rsidP="00295AF2">
      <w:pPr>
        <w:pStyle w:val="ListParagraph"/>
        <w:numPr>
          <w:ilvl w:val="1"/>
          <w:numId w:val="17"/>
        </w:numPr>
        <w:rPr>
          <w:rFonts w:ascii="Arial" w:hAnsi="Arial" w:cs="Arial"/>
          <w:sz w:val="24"/>
          <w:szCs w:val="24"/>
        </w:rPr>
      </w:pPr>
      <w:r w:rsidRPr="00EE6F7F">
        <w:rPr>
          <w:rFonts w:ascii="Arial" w:hAnsi="Arial" w:cs="Arial"/>
          <w:sz w:val="24"/>
          <w:szCs w:val="24"/>
        </w:rPr>
        <w:t xml:space="preserve">This difference is never reflected in </w:t>
      </w:r>
      <w:r w:rsidR="008B77E1" w:rsidRPr="00EE6F7F">
        <w:rPr>
          <w:rFonts w:ascii="Arial" w:hAnsi="Arial" w:cs="Arial"/>
          <w:sz w:val="24"/>
          <w:szCs w:val="24"/>
        </w:rPr>
        <w:t>Spending Power</w:t>
      </w:r>
      <w:r w:rsidRPr="00EE6F7F">
        <w:rPr>
          <w:rFonts w:ascii="Arial" w:hAnsi="Arial" w:cs="Arial"/>
          <w:sz w:val="24"/>
          <w:szCs w:val="24"/>
        </w:rPr>
        <w:t xml:space="preserve"> totals, even though an authority may be susceptible to safety net in that year</w:t>
      </w:r>
      <w:r w:rsidR="004C1F15" w:rsidRPr="00EE6F7F">
        <w:rPr>
          <w:rFonts w:ascii="Arial" w:hAnsi="Arial" w:cs="Arial"/>
          <w:sz w:val="24"/>
          <w:szCs w:val="24"/>
        </w:rPr>
        <w:t xml:space="preserve"> and though others may earn significantly in excess of that.</w:t>
      </w:r>
    </w:p>
    <w:p w:rsidR="008B261E" w:rsidRDefault="008B261E">
      <w:pPr>
        <w:rPr>
          <w:rFonts w:ascii="Arial" w:hAnsi="Arial" w:cs="Arial"/>
          <w:sz w:val="24"/>
          <w:szCs w:val="24"/>
        </w:rPr>
      </w:pPr>
      <w:bookmarkStart w:id="0" w:name="_GoBack"/>
      <w:bookmarkEnd w:id="0"/>
    </w:p>
    <w:p w:rsidR="008B261E" w:rsidRPr="00EE6F7F" w:rsidRDefault="008B261E" w:rsidP="00295AF2">
      <w:pPr>
        <w:pStyle w:val="ListParagraph"/>
        <w:numPr>
          <w:ilvl w:val="1"/>
          <w:numId w:val="17"/>
        </w:numPr>
        <w:rPr>
          <w:rFonts w:ascii="Arial" w:hAnsi="Arial" w:cs="Arial"/>
          <w:sz w:val="24"/>
          <w:szCs w:val="24"/>
        </w:rPr>
      </w:pPr>
      <w:r w:rsidRPr="00EE6F7F">
        <w:rPr>
          <w:rFonts w:ascii="Arial" w:hAnsi="Arial" w:cs="Arial"/>
          <w:b/>
          <w:sz w:val="24"/>
          <w:szCs w:val="24"/>
        </w:rPr>
        <w:t>We ask the committee to encourage the publication of retrospective Spending</w:t>
      </w:r>
      <w:r w:rsidR="008B77E1" w:rsidRPr="00EE6F7F">
        <w:rPr>
          <w:rFonts w:ascii="Arial" w:hAnsi="Arial" w:cs="Arial"/>
          <w:b/>
          <w:sz w:val="24"/>
          <w:szCs w:val="24"/>
        </w:rPr>
        <w:t xml:space="preserve"> Power totals illustrating </w:t>
      </w:r>
      <w:r w:rsidRPr="00EE6F7F">
        <w:rPr>
          <w:rFonts w:ascii="Arial" w:hAnsi="Arial" w:cs="Arial"/>
          <w:b/>
          <w:sz w:val="24"/>
          <w:szCs w:val="24"/>
        </w:rPr>
        <w:t xml:space="preserve">the actual </w:t>
      </w:r>
      <w:r w:rsidR="008B77E1" w:rsidRPr="00EE6F7F">
        <w:rPr>
          <w:rFonts w:ascii="Arial" w:hAnsi="Arial" w:cs="Arial"/>
          <w:b/>
          <w:sz w:val="24"/>
          <w:szCs w:val="24"/>
        </w:rPr>
        <w:t>Spending Power of authorities</w:t>
      </w:r>
      <w:r w:rsidR="004C1F15" w:rsidRPr="00EE6F7F">
        <w:rPr>
          <w:rFonts w:ascii="Arial" w:hAnsi="Arial" w:cs="Arial"/>
          <w:b/>
          <w:sz w:val="24"/>
          <w:szCs w:val="24"/>
        </w:rPr>
        <w:t>,</w:t>
      </w:r>
      <w:r w:rsidRPr="00EE6F7F">
        <w:rPr>
          <w:rFonts w:ascii="Arial" w:hAnsi="Arial" w:cs="Arial"/>
          <w:b/>
          <w:sz w:val="24"/>
          <w:szCs w:val="24"/>
        </w:rPr>
        <w:t xml:space="preserve"> including </w:t>
      </w:r>
      <w:r w:rsidR="004C1F15" w:rsidRPr="00EE6F7F">
        <w:rPr>
          <w:rFonts w:ascii="Arial" w:hAnsi="Arial" w:cs="Arial"/>
          <w:b/>
          <w:sz w:val="24"/>
          <w:szCs w:val="24"/>
        </w:rPr>
        <w:t xml:space="preserve">January </w:t>
      </w:r>
      <w:r w:rsidRPr="00EE6F7F">
        <w:rPr>
          <w:rFonts w:ascii="Arial" w:hAnsi="Arial" w:cs="Arial"/>
          <w:b/>
          <w:sz w:val="24"/>
          <w:szCs w:val="24"/>
        </w:rPr>
        <w:t>business rate estimates</w:t>
      </w:r>
      <w:r w:rsidR="009347E6">
        <w:rPr>
          <w:rStyle w:val="FootnoteReference"/>
          <w:rFonts w:ascii="Arial" w:hAnsi="Arial" w:cs="Arial"/>
          <w:b/>
          <w:sz w:val="24"/>
          <w:szCs w:val="24"/>
        </w:rPr>
        <w:footnoteReference w:id="5"/>
      </w:r>
      <w:r w:rsidRPr="00EE6F7F">
        <w:rPr>
          <w:rFonts w:ascii="Arial" w:hAnsi="Arial" w:cs="Arial"/>
          <w:b/>
          <w:sz w:val="24"/>
          <w:szCs w:val="24"/>
        </w:rPr>
        <w:t xml:space="preserve"> .</w:t>
      </w:r>
    </w:p>
    <w:p w:rsidR="004C1F15" w:rsidRDefault="004C1F15">
      <w:pPr>
        <w:rPr>
          <w:rFonts w:ascii="Arial" w:hAnsi="Arial" w:cs="Arial"/>
          <w:sz w:val="24"/>
          <w:szCs w:val="24"/>
        </w:rPr>
      </w:pPr>
    </w:p>
    <w:p w:rsidR="00744FC5" w:rsidRPr="00EE6F7F" w:rsidRDefault="00744FC5" w:rsidP="00EE6F7F">
      <w:pPr>
        <w:pStyle w:val="ListParagraph"/>
        <w:ind w:left="360"/>
        <w:rPr>
          <w:rFonts w:ascii="Arial" w:hAnsi="Arial" w:cs="Arial"/>
          <w:i/>
          <w:color w:val="943634" w:themeColor="accent2" w:themeShade="BF"/>
          <w:sz w:val="24"/>
          <w:szCs w:val="24"/>
        </w:rPr>
      </w:pPr>
      <w:r w:rsidRPr="00EE6F7F">
        <w:rPr>
          <w:rFonts w:ascii="Arial" w:hAnsi="Arial" w:cs="Arial"/>
          <w:i/>
          <w:color w:val="943634" w:themeColor="accent2" w:themeShade="BF"/>
          <w:sz w:val="24"/>
          <w:szCs w:val="24"/>
        </w:rPr>
        <w:t>The system is resulting in inter departmental transfers of funding</w:t>
      </w:r>
    </w:p>
    <w:p w:rsidR="00DC1A9D" w:rsidRPr="00EE6F7F" w:rsidRDefault="009347E6" w:rsidP="00EE6F7F">
      <w:pPr>
        <w:pStyle w:val="ListParagraph"/>
        <w:numPr>
          <w:ilvl w:val="0"/>
          <w:numId w:val="17"/>
        </w:numPr>
        <w:rPr>
          <w:rFonts w:ascii="Arial" w:hAnsi="Arial" w:cs="Arial"/>
          <w:sz w:val="24"/>
          <w:szCs w:val="24"/>
        </w:rPr>
      </w:pPr>
      <w:r w:rsidRPr="00EE6F7F">
        <w:rPr>
          <w:rFonts w:ascii="Arial" w:hAnsi="Arial" w:cs="Arial"/>
          <w:sz w:val="24"/>
          <w:szCs w:val="24"/>
        </w:rPr>
        <w:t xml:space="preserve">There is recent evidence that one of the unintended consequences of rate retention is redistribution of funds away </w:t>
      </w:r>
      <w:r w:rsidR="005F3CCF" w:rsidRPr="00EE6F7F">
        <w:rPr>
          <w:rFonts w:ascii="Arial" w:hAnsi="Arial" w:cs="Arial"/>
          <w:sz w:val="24"/>
          <w:szCs w:val="24"/>
        </w:rPr>
        <w:t>from local government to other D</w:t>
      </w:r>
      <w:r w:rsidRPr="00EE6F7F">
        <w:rPr>
          <w:rFonts w:ascii="Arial" w:hAnsi="Arial" w:cs="Arial"/>
          <w:sz w:val="24"/>
          <w:szCs w:val="24"/>
        </w:rPr>
        <w:t xml:space="preserve">epartments. This can be seen in a recent successful appeal against rate valuations by health centres and a pending submission on behalf of </w:t>
      </w:r>
      <w:r w:rsidR="00DC1A9D" w:rsidRPr="00EE6F7F">
        <w:rPr>
          <w:rFonts w:ascii="Arial" w:hAnsi="Arial" w:cs="Arial"/>
          <w:sz w:val="24"/>
          <w:szCs w:val="24"/>
        </w:rPr>
        <w:t>NHS Health Trusts for 80%</w:t>
      </w:r>
      <w:r w:rsidR="005F3CCF" w:rsidRPr="00EE6F7F">
        <w:rPr>
          <w:rFonts w:ascii="Arial" w:hAnsi="Arial" w:cs="Arial"/>
          <w:sz w:val="24"/>
          <w:szCs w:val="24"/>
        </w:rPr>
        <w:t xml:space="preserve"> charitable  relief</w:t>
      </w:r>
      <w:r w:rsidR="00744FC5" w:rsidRPr="00EE6F7F">
        <w:rPr>
          <w:rFonts w:ascii="Arial" w:hAnsi="Arial" w:cs="Arial"/>
          <w:sz w:val="24"/>
          <w:szCs w:val="24"/>
        </w:rPr>
        <w:t>.</w:t>
      </w:r>
    </w:p>
    <w:p w:rsidR="00744FC5" w:rsidRDefault="00744FC5">
      <w:pPr>
        <w:rPr>
          <w:rFonts w:ascii="Arial" w:hAnsi="Arial" w:cs="Arial"/>
          <w:sz w:val="24"/>
          <w:szCs w:val="24"/>
        </w:rPr>
      </w:pPr>
    </w:p>
    <w:p w:rsidR="00744FC5" w:rsidRPr="00EE6F7F" w:rsidRDefault="00744FC5" w:rsidP="00295AF2">
      <w:pPr>
        <w:pStyle w:val="ListParagraph"/>
        <w:numPr>
          <w:ilvl w:val="1"/>
          <w:numId w:val="17"/>
        </w:numPr>
        <w:rPr>
          <w:rFonts w:ascii="Arial" w:hAnsi="Arial" w:cs="Arial"/>
          <w:sz w:val="24"/>
          <w:szCs w:val="24"/>
        </w:rPr>
      </w:pPr>
      <w:r w:rsidRPr="00EE6F7F">
        <w:rPr>
          <w:rFonts w:ascii="Arial" w:hAnsi="Arial" w:cs="Arial"/>
          <w:sz w:val="24"/>
          <w:szCs w:val="24"/>
        </w:rPr>
        <w:t>Similarly, as schools convert to academy status they obtain charitable relief from business rates making savings for the education Department at the cost of local government.</w:t>
      </w:r>
    </w:p>
    <w:p w:rsidR="00DC1A9D" w:rsidRDefault="00DC1A9D">
      <w:pPr>
        <w:rPr>
          <w:rFonts w:ascii="Arial" w:hAnsi="Arial" w:cs="Arial"/>
          <w:sz w:val="24"/>
          <w:szCs w:val="24"/>
        </w:rPr>
      </w:pPr>
    </w:p>
    <w:p w:rsidR="00DC1A9D" w:rsidRPr="00EE6F7F" w:rsidRDefault="00DC1A9D" w:rsidP="00295AF2">
      <w:pPr>
        <w:pStyle w:val="ListParagraph"/>
        <w:numPr>
          <w:ilvl w:val="1"/>
          <w:numId w:val="17"/>
        </w:numPr>
        <w:rPr>
          <w:rFonts w:ascii="Arial" w:hAnsi="Arial" w:cs="Arial"/>
          <w:sz w:val="24"/>
          <w:szCs w:val="24"/>
        </w:rPr>
      </w:pPr>
      <w:r w:rsidRPr="00EE6F7F">
        <w:rPr>
          <w:rFonts w:ascii="Arial" w:hAnsi="Arial" w:cs="Arial"/>
          <w:sz w:val="24"/>
          <w:szCs w:val="24"/>
        </w:rPr>
        <w:t>These events have highlighted one of the weaknesses of making authorities wholly reliable o</w:t>
      </w:r>
      <w:r w:rsidR="00744FC5" w:rsidRPr="00EE6F7F">
        <w:rPr>
          <w:rFonts w:ascii="Arial" w:hAnsi="Arial" w:cs="Arial"/>
          <w:sz w:val="24"/>
          <w:szCs w:val="24"/>
        </w:rPr>
        <w:t>n locally raised business rates which will be amplified by increasing authority local shares.</w:t>
      </w:r>
    </w:p>
    <w:p w:rsidR="00DC1A9D" w:rsidRDefault="00DC1A9D">
      <w:pPr>
        <w:rPr>
          <w:rFonts w:ascii="Arial" w:hAnsi="Arial" w:cs="Arial"/>
          <w:sz w:val="24"/>
          <w:szCs w:val="24"/>
        </w:rPr>
      </w:pPr>
    </w:p>
    <w:p w:rsidR="009347E6" w:rsidRPr="00EE6F7F" w:rsidRDefault="00DC1A9D" w:rsidP="00295AF2">
      <w:pPr>
        <w:pStyle w:val="ListParagraph"/>
        <w:numPr>
          <w:ilvl w:val="1"/>
          <w:numId w:val="17"/>
        </w:numPr>
        <w:rPr>
          <w:rFonts w:ascii="Arial" w:hAnsi="Arial" w:cs="Arial"/>
          <w:b/>
          <w:sz w:val="24"/>
          <w:szCs w:val="24"/>
        </w:rPr>
      </w:pPr>
      <w:r w:rsidRPr="00EE6F7F">
        <w:rPr>
          <w:rFonts w:ascii="Arial" w:hAnsi="Arial" w:cs="Arial"/>
          <w:b/>
          <w:sz w:val="24"/>
          <w:szCs w:val="24"/>
        </w:rPr>
        <w:t>Whatever the legal outcome of these and future similar rate appeal issues, local government needs assurances built into the rates retention mechanism that rate savings accruing wholly or partly to other government Departments will be repatriated via treasury adjustments back to local government.</w:t>
      </w:r>
    </w:p>
    <w:p w:rsidR="00DC1A9D" w:rsidRDefault="00DC1A9D">
      <w:pPr>
        <w:rPr>
          <w:rFonts w:ascii="Arial" w:hAnsi="Arial" w:cs="Arial"/>
          <w:sz w:val="24"/>
          <w:szCs w:val="24"/>
        </w:rPr>
      </w:pPr>
    </w:p>
    <w:p w:rsidR="000335B2" w:rsidRDefault="000335B2">
      <w:pPr>
        <w:rPr>
          <w:rFonts w:ascii="Arial" w:hAnsi="Arial" w:cs="Arial"/>
          <w:i/>
          <w:color w:val="943634" w:themeColor="accent2" w:themeShade="BF"/>
          <w:sz w:val="24"/>
          <w:szCs w:val="24"/>
        </w:rPr>
      </w:pPr>
    </w:p>
    <w:p w:rsidR="005F3CCF" w:rsidRPr="00EE6F7F" w:rsidRDefault="005F3CCF" w:rsidP="00EE6F7F">
      <w:pPr>
        <w:pStyle w:val="ListParagraph"/>
        <w:ind w:left="360"/>
        <w:rPr>
          <w:rFonts w:ascii="Arial" w:hAnsi="Arial" w:cs="Arial"/>
          <w:i/>
          <w:color w:val="943634" w:themeColor="accent2" w:themeShade="BF"/>
          <w:sz w:val="24"/>
          <w:szCs w:val="24"/>
        </w:rPr>
      </w:pPr>
      <w:r w:rsidRPr="00EE6F7F">
        <w:rPr>
          <w:rFonts w:ascii="Arial" w:hAnsi="Arial" w:cs="Arial"/>
          <w:i/>
          <w:color w:val="943634" w:themeColor="accent2" w:themeShade="BF"/>
          <w:sz w:val="24"/>
          <w:szCs w:val="24"/>
        </w:rPr>
        <w:t>Treatment of rates paid on the central list is unclear</w:t>
      </w:r>
    </w:p>
    <w:p w:rsidR="000335B2" w:rsidRPr="005F3CCF" w:rsidRDefault="000335B2">
      <w:pPr>
        <w:rPr>
          <w:rFonts w:ascii="Arial" w:hAnsi="Arial" w:cs="Arial"/>
          <w:i/>
          <w:color w:val="943634" w:themeColor="accent2" w:themeShade="BF"/>
          <w:sz w:val="24"/>
          <w:szCs w:val="24"/>
        </w:rPr>
      </w:pPr>
    </w:p>
    <w:p w:rsidR="00DC1A9D" w:rsidRPr="00EE6F7F" w:rsidRDefault="00D56085" w:rsidP="00EE6F7F">
      <w:pPr>
        <w:pStyle w:val="ListParagraph"/>
        <w:numPr>
          <w:ilvl w:val="0"/>
          <w:numId w:val="17"/>
        </w:numPr>
        <w:rPr>
          <w:rFonts w:ascii="Arial" w:hAnsi="Arial" w:cs="Arial"/>
          <w:sz w:val="24"/>
          <w:szCs w:val="24"/>
        </w:rPr>
      </w:pPr>
      <w:r w:rsidRPr="00EE6F7F">
        <w:rPr>
          <w:rFonts w:ascii="Arial" w:hAnsi="Arial" w:cs="Arial"/>
          <w:sz w:val="24"/>
          <w:szCs w:val="24"/>
        </w:rPr>
        <w:t>The list to which rate retention applies excludes the Central Rating list which at 2010 had value of £2.7 billion</w:t>
      </w:r>
      <w:r w:rsidR="00A620B7">
        <w:rPr>
          <w:rStyle w:val="FootnoteReference"/>
          <w:rFonts w:ascii="Arial" w:hAnsi="Arial" w:cs="Arial"/>
          <w:sz w:val="24"/>
          <w:szCs w:val="24"/>
        </w:rPr>
        <w:footnoteReference w:id="6"/>
      </w:r>
      <w:r w:rsidR="00744FC5" w:rsidRPr="00EE6F7F">
        <w:rPr>
          <w:rFonts w:ascii="Arial" w:hAnsi="Arial" w:cs="Arial"/>
          <w:sz w:val="24"/>
          <w:szCs w:val="24"/>
        </w:rPr>
        <w:t>. Though G</w:t>
      </w:r>
      <w:r w:rsidR="009819EC" w:rsidRPr="00EE6F7F">
        <w:rPr>
          <w:rFonts w:ascii="Arial" w:hAnsi="Arial" w:cs="Arial"/>
          <w:sz w:val="24"/>
          <w:szCs w:val="24"/>
        </w:rPr>
        <w:t>overnment assert that the rates raised are</w:t>
      </w:r>
      <w:r w:rsidRPr="00EE6F7F">
        <w:rPr>
          <w:rFonts w:ascii="Arial" w:hAnsi="Arial" w:cs="Arial"/>
          <w:sz w:val="24"/>
          <w:szCs w:val="24"/>
        </w:rPr>
        <w:t xml:space="preserve"> used for local government benefit the accounting is opaque. Moreover the threat hangs over authorities that further items could be transferred to the central list, reducing future income.</w:t>
      </w:r>
    </w:p>
    <w:p w:rsidR="00D56085" w:rsidRDefault="00D56085">
      <w:pPr>
        <w:rPr>
          <w:rFonts w:ascii="Arial" w:hAnsi="Arial" w:cs="Arial"/>
          <w:sz w:val="24"/>
          <w:szCs w:val="24"/>
        </w:rPr>
      </w:pPr>
    </w:p>
    <w:p w:rsidR="00D56085" w:rsidRPr="00EE6F7F" w:rsidRDefault="00D56085" w:rsidP="00185048">
      <w:pPr>
        <w:pStyle w:val="ListParagraph"/>
        <w:numPr>
          <w:ilvl w:val="1"/>
          <w:numId w:val="17"/>
        </w:numPr>
        <w:rPr>
          <w:rFonts w:ascii="Arial" w:hAnsi="Arial" w:cs="Arial"/>
          <w:b/>
          <w:sz w:val="24"/>
          <w:szCs w:val="24"/>
        </w:rPr>
      </w:pPr>
      <w:r w:rsidRPr="00EE6F7F">
        <w:rPr>
          <w:rFonts w:ascii="Arial" w:hAnsi="Arial" w:cs="Arial"/>
          <w:b/>
          <w:sz w:val="24"/>
          <w:szCs w:val="24"/>
        </w:rPr>
        <w:lastRenderedPageBreak/>
        <w:t xml:space="preserve">Authorities need clarity on how central list funding is applied </w:t>
      </w:r>
      <w:r w:rsidR="00A620B7" w:rsidRPr="00EE6F7F">
        <w:rPr>
          <w:rFonts w:ascii="Arial" w:hAnsi="Arial" w:cs="Arial"/>
          <w:b/>
          <w:sz w:val="24"/>
          <w:szCs w:val="24"/>
        </w:rPr>
        <w:t>to local government and assurances that there will be no future transfers onto the list with</w:t>
      </w:r>
      <w:r w:rsidR="00744FC5" w:rsidRPr="00EE6F7F">
        <w:rPr>
          <w:rFonts w:ascii="Arial" w:hAnsi="Arial" w:cs="Arial"/>
          <w:b/>
          <w:sz w:val="24"/>
          <w:szCs w:val="24"/>
        </w:rPr>
        <w:t>out</w:t>
      </w:r>
      <w:r w:rsidR="00A620B7" w:rsidRPr="00EE6F7F">
        <w:rPr>
          <w:rFonts w:ascii="Arial" w:hAnsi="Arial" w:cs="Arial"/>
          <w:b/>
          <w:sz w:val="24"/>
          <w:szCs w:val="24"/>
        </w:rPr>
        <w:t xml:space="preserve"> compensation.</w:t>
      </w:r>
    </w:p>
    <w:p w:rsidR="009347E6" w:rsidRDefault="009347E6">
      <w:pPr>
        <w:rPr>
          <w:rFonts w:ascii="Arial" w:hAnsi="Arial" w:cs="Arial"/>
          <w:b/>
          <w:sz w:val="24"/>
          <w:szCs w:val="24"/>
        </w:rPr>
      </w:pPr>
    </w:p>
    <w:p w:rsidR="004C1F15" w:rsidRPr="00EE6F7F" w:rsidRDefault="004C1F15" w:rsidP="00EE6F7F">
      <w:pPr>
        <w:pStyle w:val="ListParagraph"/>
        <w:ind w:left="360"/>
        <w:rPr>
          <w:rFonts w:ascii="Arial" w:hAnsi="Arial" w:cs="Arial"/>
          <w:b/>
          <w:color w:val="943634" w:themeColor="accent2" w:themeShade="BF"/>
          <w:sz w:val="24"/>
          <w:szCs w:val="24"/>
        </w:rPr>
      </w:pPr>
      <w:r w:rsidRPr="00EE6F7F">
        <w:rPr>
          <w:rFonts w:ascii="Arial" w:hAnsi="Arial" w:cs="Arial"/>
          <w:b/>
          <w:color w:val="943634" w:themeColor="accent2" w:themeShade="BF"/>
          <w:sz w:val="24"/>
          <w:szCs w:val="24"/>
        </w:rPr>
        <w:t>Differences of Outcome</w:t>
      </w:r>
    </w:p>
    <w:p w:rsidR="004C1F15" w:rsidRDefault="004C1F15">
      <w:pPr>
        <w:rPr>
          <w:rFonts w:ascii="Arial" w:hAnsi="Arial" w:cs="Arial"/>
          <w:sz w:val="24"/>
          <w:szCs w:val="24"/>
        </w:rPr>
      </w:pPr>
    </w:p>
    <w:p w:rsidR="004C1F15" w:rsidRPr="00EE6F7F" w:rsidRDefault="00694D7D" w:rsidP="00185048">
      <w:pPr>
        <w:pStyle w:val="ListParagraph"/>
        <w:numPr>
          <w:ilvl w:val="0"/>
          <w:numId w:val="17"/>
        </w:numPr>
        <w:rPr>
          <w:rFonts w:ascii="Arial" w:hAnsi="Arial" w:cs="Arial"/>
          <w:sz w:val="24"/>
          <w:szCs w:val="24"/>
        </w:rPr>
      </w:pPr>
      <w:r w:rsidRPr="00EE6F7F">
        <w:rPr>
          <w:rFonts w:ascii="Arial" w:hAnsi="Arial" w:cs="Arial"/>
          <w:sz w:val="24"/>
          <w:szCs w:val="24"/>
        </w:rPr>
        <w:t>To evaluate the differential impact of rate retention requires consideration of the two m</w:t>
      </w:r>
      <w:r w:rsidR="00C84096" w:rsidRPr="00EE6F7F">
        <w:rPr>
          <w:rFonts w:ascii="Arial" w:hAnsi="Arial" w:cs="Arial"/>
          <w:sz w:val="24"/>
          <w:szCs w:val="24"/>
        </w:rPr>
        <w:t>ain aspects that influence outcomes</w:t>
      </w:r>
      <w:r w:rsidRPr="00EE6F7F">
        <w:rPr>
          <w:rFonts w:ascii="Arial" w:hAnsi="Arial" w:cs="Arial"/>
          <w:sz w:val="24"/>
          <w:szCs w:val="24"/>
        </w:rPr>
        <w:t>:</w:t>
      </w:r>
    </w:p>
    <w:p w:rsidR="00694D7D" w:rsidRDefault="00694D7D">
      <w:pPr>
        <w:rPr>
          <w:rFonts w:ascii="Arial" w:hAnsi="Arial" w:cs="Arial"/>
          <w:sz w:val="24"/>
          <w:szCs w:val="24"/>
        </w:rPr>
      </w:pPr>
    </w:p>
    <w:p w:rsidR="00694D7D" w:rsidRPr="00694D7D" w:rsidRDefault="00694D7D" w:rsidP="00EE6F7F">
      <w:pPr>
        <w:pStyle w:val="ListParagraph"/>
        <w:numPr>
          <w:ilvl w:val="0"/>
          <w:numId w:val="20"/>
        </w:numPr>
        <w:rPr>
          <w:rFonts w:ascii="Arial" w:hAnsi="Arial" w:cs="Arial"/>
          <w:sz w:val="24"/>
          <w:szCs w:val="24"/>
        </w:rPr>
      </w:pPr>
      <w:r w:rsidRPr="00694D7D">
        <w:rPr>
          <w:rFonts w:ascii="Arial" w:hAnsi="Arial" w:cs="Arial"/>
          <w:sz w:val="24"/>
          <w:szCs w:val="24"/>
        </w:rPr>
        <w:t>The ability to increase loca</w:t>
      </w:r>
      <w:r w:rsidR="006C3071">
        <w:rPr>
          <w:rFonts w:ascii="Arial" w:hAnsi="Arial" w:cs="Arial"/>
          <w:sz w:val="24"/>
          <w:szCs w:val="24"/>
        </w:rPr>
        <w:t>lly</w:t>
      </w:r>
      <w:r w:rsidRPr="00694D7D">
        <w:rPr>
          <w:rFonts w:ascii="Arial" w:hAnsi="Arial" w:cs="Arial"/>
          <w:sz w:val="24"/>
          <w:szCs w:val="24"/>
        </w:rPr>
        <w:t xml:space="preserve"> raised finances</w:t>
      </w:r>
      <w:r>
        <w:rPr>
          <w:rFonts w:ascii="Arial" w:hAnsi="Arial" w:cs="Arial"/>
          <w:sz w:val="24"/>
          <w:szCs w:val="24"/>
        </w:rPr>
        <w:t xml:space="preserve">, </w:t>
      </w:r>
      <w:r w:rsidR="00C84096">
        <w:rPr>
          <w:rFonts w:ascii="Arial" w:hAnsi="Arial" w:cs="Arial"/>
          <w:sz w:val="24"/>
          <w:szCs w:val="24"/>
        </w:rPr>
        <w:t xml:space="preserve">in </w:t>
      </w:r>
      <w:r>
        <w:rPr>
          <w:rFonts w:ascii="Arial" w:hAnsi="Arial" w:cs="Arial"/>
          <w:sz w:val="24"/>
          <w:szCs w:val="24"/>
        </w:rPr>
        <w:t>this case</w:t>
      </w:r>
      <w:r w:rsidR="006C3071">
        <w:rPr>
          <w:rFonts w:ascii="Arial" w:hAnsi="Arial" w:cs="Arial"/>
          <w:sz w:val="24"/>
          <w:szCs w:val="24"/>
        </w:rPr>
        <w:t xml:space="preserve"> business</w:t>
      </w:r>
      <w:r>
        <w:rPr>
          <w:rFonts w:ascii="Arial" w:hAnsi="Arial" w:cs="Arial"/>
          <w:sz w:val="24"/>
          <w:szCs w:val="24"/>
        </w:rPr>
        <w:t xml:space="preserve"> rates</w:t>
      </w:r>
    </w:p>
    <w:p w:rsidR="00694D7D" w:rsidRPr="00694D7D" w:rsidRDefault="00694D7D" w:rsidP="00EE6F7F">
      <w:pPr>
        <w:pStyle w:val="ListParagraph"/>
        <w:numPr>
          <w:ilvl w:val="0"/>
          <w:numId w:val="20"/>
        </w:numPr>
        <w:rPr>
          <w:rFonts w:ascii="Arial" w:hAnsi="Arial" w:cs="Arial"/>
          <w:sz w:val="24"/>
          <w:szCs w:val="24"/>
        </w:rPr>
      </w:pPr>
      <w:r w:rsidRPr="00694D7D">
        <w:rPr>
          <w:rFonts w:ascii="Arial" w:hAnsi="Arial" w:cs="Arial"/>
          <w:sz w:val="24"/>
          <w:szCs w:val="24"/>
        </w:rPr>
        <w:t xml:space="preserve">The cost of services, </w:t>
      </w:r>
      <w:r>
        <w:rPr>
          <w:rFonts w:ascii="Arial" w:hAnsi="Arial" w:cs="Arial"/>
          <w:sz w:val="24"/>
          <w:szCs w:val="24"/>
        </w:rPr>
        <w:t xml:space="preserve">which are </w:t>
      </w:r>
      <w:r w:rsidRPr="00694D7D">
        <w:rPr>
          <w:rFonts w:ascii="Arial" w:hAnsi="Arial" w:cs="Arial"/>
          <w:sz w:val="24"/>
          <w:szCs w:val="24"/>
        </w:rPr>
        <w:t>in turn dependent on:</w:t>
      </w:r>
    </w:p>
    <w:p w:rsidR="00694D7D" w:rsidRPr="00694D7D" w:rsidRDefault="00694D7D" w:rsidP="00EE6F7F">
      <w:pPr>
        <w:pStyle w:val="ListParagraph"/>
        <w:numPr>
          <w:ilvl w:val="0"/>
          <w:numId w:val="20"/>
        </w:numPr>
        <w:rPr>
          <w:rFonts w:ascii="Arial" w:hAnsi="Arial" w:cs="Arial"/>
          <w:sz w:val="24"/>
          <w:szCs w:val="24"/>
        </w:rPr>
      </w:pPr>
      <w:r w:rsidRPr="00694D7D">
        <w:rPr>
          <w:rFonts w:ascii="Arial" w:hAnsi="Arial" w:cs="Arial"/>
          <w:sz w:val="24"/>
          <w:szCs w:val="24"/>
        </w:rPr>
        <w:t>Statutory duties placed on authorities</w:t>
      </w:r>
    </w:p>
    <w:p w:rsidR="00694D7D" w:rsidRPr="00694D7D" w:rsidRDefault="00694D7D" w:rsidP="00EE6F7F">
      <w:pPr>
        <w:pStyle w:val="ListParagraph"/>
        <w:numPr>
          <w:ilvl w:val="0"/>
          <w:numId w:val="20"/>
        </w:numPr>
        <w:rPr>
          <w:rFonts w:ascii="Arial" w:hAnsi="Arial" w:cs="Arial"/>
          <w:sz w:val="24"/>
          <w:szCs w:val="24"/>
        </w:rPr>
      </w:pPr>
      <w:r w:rsidRPr="00694D7D">
        <w:rPr>
          <w:rFonts w:ascii="Arial" w:hAnsi="Arial" w:cs="Arial"/>
          <w:sz w:val="24"/>
          <w:szCs w:val="24"/>
        </w:rPr>
        <w:t>The baseline cost of those services</w:t>
      </w:r>
    </w:p>
    <w:p w:rsidR="00694D7D" w:rsidRPr="00694D7D" w:rsidRDefault="00694D7D" w:rsidP="00EE6F7F">
      <w:pPr>
        <w:pStyle w:val="ListParagraph"/>
        <w:numPr>
          <w:ilvl w:val="0"/>
          <w:numId w:val="20"/>
        </w:numPr>
        <w:rPr>
          <w:rFonts w:ascii="Arial" w:hAnsi="Arial" w:cs="Arial"/>
          <w:sz w:val="24"/>
          <w:szCs w:val="24"/>
        </w:rPr>
      </w:pPr>
      <w:r w:rsidRPr="00694D7D">
        <w:rPr>
          <w:rFonts w:ascii="Arial" w:hAnsi="Arial" w:cs="Arial"/>
          <w:sz w:val="24"/>
          <w:szCs w:val="24"/>
        </w:rPr>
        <w:t>The dem</w:t>
      </w:r>
      <w:r w:rsidR="005F3CCF">
        <w:rPr>
          <w:rFonts w:ascii="Arial" w:hAnsi="Arial" w:cs="Arial"/>
          <w:sz w:val="24"/>
          <w:szCs w:val="24"/>
        </w:rPr>
        <w:t xml:space="preserve">ographics that determine </w:t>
      </w:r>
      <w:r w:rsidR="008271CF">
        <w:rPr>
          <w:rFonts w:ascii="Arial" w:hAnsi="Arial" w:cs="Arial"/>
          <w:sz w:val="24"/>
          <w:szCs w:val="24"/>
        </w:rPr>
        <w:t xml:space="preserve">local </w:t>
      </w:r>
      <w:r w:rsidR="005F3CCF">
        <w:rPr>
          <w:rFonts w:ascii="Arial" w:hAnsi="Arial" w:cs="Arial"/>
          <w:sz w:val="24"/>
          <w:szCs w:val="24"/>
        </w:rPr>
        <w:t>demand;</w:t>
      </w:r>
      <w:r w:rsidRPr="00694D7D">
        <w:rPr>
          <w:rFonts w:ascii="Arial" w:hAnsi="Arial" w:cs="Arial"/>
          <w:sz w:val="24"/>
          <w:szCs w:val="24"/>
        </w:rPr>
        <w:t xml:space="preserve"> the “cost drivers”</w:t>
      </w:r>
    </w:p>
    <w:p w:rsidR="008B261E" w:rsidRDefault="008B261E">
      <w:pPr>
        <w:rPr>
          <w:rFonts w:ascii="Arial" w:hAnsi="Arial" w:cs="Arial"/>
          <w:sz w:val="24"/>
          <w:szCs w:val="24"/>
        </w:rPr>
      </w:pPr>
    </w:p>
    <w:p w:rsidR="008B261E" w:rsidRPr="00EE6F7F" w:rsidRDefault="008E5FAF" w:rsidP="00185048">
      <w:pPr>
        <w:pStyle w:val="ListParagraph"/>
        <w:numPr>
          <w:ilvl w:val="1"/>
          <w:numId w:val="17"/>
        </w:numPr>
        <w:rPr>
          <w:rFonts w:ascii="Arial" w:hAnsi="Arial" w:cs="Arial"/>
          <w:sz w:val="24"/>
          <w:szCs w:val="24"/>
        </w:rPr>
      </w:pPr>
      <w:r w:rsidRPr="00EE6F7F">
        <w:rPr>
          <w:rFonts w:ascii="Arial" w:hAnsi="Arial" w:cs="Arial"/>
          <w:sz w:val="24"/>
          <w:szCs w:val="24"/>
        </w:rPr>
        <w:t>The potential combined impact of these factors was illustrated by the LGA in their report on future funding to 2019-20, from which the following graph is reproduced:</w:t>
      </w:r>
    </w:p>
    <w:p w:rsidR="008E5FAF" w:rsidRDefault="008E5FAF">
      <w:pPr>
        <w:rPr>
          <w:rFonts w:ascii="Arial" w:hAnsi="Arial" w:cs="Arial"/>
          <w:sz w:val="24"/>
          <w:szCs w:val="24"/>
        </w:rPr>
      </w:pPr>
    </w:p>
    <w:p w:rsidR="008E5FAF" w:rsidRPr="00EE6F7F" w:rsidRDefault="008E5FAF" w:rsidP="00EE6F7F">
      <w:pPr>
        <w:pStyle w:val="ListParagraph"/>
        <w:ind w:left="360"/>
        <w:rPr>
          <w:rFonts w:ascii="Arial" w:hAnsi="Arial" w:cs="Arial"/>
          <w:color w:val="943634" w:themeColor="accent2" w:themeShade="BF"/>
          <w:sz w:val="24"/>
          <w:szCs w:val="24"/>
        </w:rPr>
      </w:pPr>
      <w:r w:rsidRPr="00EE6F7F">
        <w:rPr>
          <w:rFonts w:ascii="Arial" w:hAnsi="Arial" w:cs="Arial"/>
          <w:color w:val="943634" w:themeColor="accent2" w:themeShade="BF"/>
          <w:sz w:val="24"/>
          <w:szCs w:val="24"/>
        </w:rPr>
        <w:t>Income against expenditure 2010/11 to 2019/20</w:t>
      </w:r>
      <w:r w:rsidRPr="00E23AFD">
        <w:rPr>
          <w:rStyle w:val="FootnoteReference"/>
          <w:rFonts w:ascii="Arial" w:hAnsi="Arial" w:cs="Arial"/>
          <w:color w:val="943634" w:themeColor="accent2" w:themeShade="BF"/>
          <w:sz w:val="24"/>
          <w:szCs w:val="24"/>
        </w:rPr>
        <w:footnoteReference w:id="7"/>
      </w:r>
    </w:p>
    <w:p w:rsidR="008E5FAF" w:rsidRPr="00EE6F7F" w:rsidRDefault="000B366B" w:rsidP="00EE6F7F">
      <w:pPr>
        <w:rPr>
          <w:rFonts w:ascii="Arial" w:hAnsi="Arial" w:cs="Arial"/>
          <w:sz w:val="24"/>
          <w:szCs w:val="24"/>
        </w:rPr>
      </w:pPr>
      <w:r>
        <w:rPr>
          <w:noProof/>
          <w:lang w:eastAsia="en-GB"/>
        </w:rPr>
        <mc:AlternateContent>
          <mc:Choice Requires="wps">
            <w:drawing>
              <wp:anchor distT="0" distB="0" distL="114300" distR="114300" simplePos="0" relativeHeight="251660288" behindDoc="0" locked="0" layoutInCell="1" allowOverlap="1" wp14:anchorId="2A9386FD" wp14:editId="78AE58A5">
                <wp:simplePos x="0" y="0"/>
                <wp:positionH relativeFrom="column">
                  <wp:posOffset>1739900</wp:posOffset>
                </wp:positionH>
                <wp:positionV relativeFrom="paragraph">
                  <wp:posOffset>348615</wp:posOffset>
                </wp:positionV>
                <wp:extent cx="1219200" cy="342900"/>
                <wp:effectExtent l="0" t="0" r="0" b="0"/>
                <wp:wrapNone/>
                <wp:docPr id="12" name="Rectangle 12"/>
                <wp:cNvGraphicFramePr/>
                <a:graphic xmlns:a="http://schemas.openxmlformats.org/drawingml/2006/main">
                  <a:graphicData uri="http://schemas.microsoft.com/office/word/2010/wordprocessingShape">
                    <wps:wsp>
                      <wps:cNvSpPr/>
                      <wps:spPr>
                        <a:xfrm>
                          <a:off x="0" y="0"/>
                          <a:ext cx="1219200" cy="342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366B" w:rsidRPr="000B366B" w:rsidRDefault="000B366B" w:rsidP="000B366B">
                            <w:pPr>
                              <w:rPr>
                                <w:color w:val="000000" w:themeColor="text1"/>
                              </w:rPr>
                            </w:pPr>
                            <w:r w:rsidRPr="000B366B">
                              <w:rPr>
                                <w:color w:val="000000" w:themeColor="text1"/>
                              </w:rPr>
                              <w:t>Funding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37pt;margin-top:27.45pt;width:9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Or0mAIAAJEFAAAOAAAAZHJzL2Uyb0RvYy54bWysVE1v2zAMvQ/YfxB0Xx176bYGcYogRYcB&#10;RVu0HXpWZCk2IIuapMTOfv0oyXa6rthhWA4OJT4+fojk8rJvFTkI6xrQJc3PZpQIzaFq9K6k35+u&#10;P3yhxHmmK6ZAi5IehaOXq/fvlp1ZiAJqUJWwBEm0W3SmpLX3ZpFljteiZe4MjNColGBb5vFod1ll&#10;WYfsrcqK2exT1oGtjAUunMPbq6Skq8gvpeD+TkonPFElxdh8/Nr43YZvtlqyxc4yUzd8CIP9QxQt&#10;azQ6naiumGdkb5s/qNqGW3Ag/RmHNgMpGy5iDphNPnuVzWPNjIi5YHGcmcrk/h8tvz3cW9JU+HYF&#10;JZq1+EYPWDWmd0oQvMMCdcYtEPdo7u1wciiGbHtp2/CPeZA+FvU4FVX0nnC8zIv8Al+KEo66j/Pi&#10;AmWkyU7Wxjr/VUBLglBSi+5jLdnhxvkEHSHBmQPVVNeNUvEQGkVslCUHhk+83eUD+W8opQNWQ7BK&#10;hOEmC4mlVKLkj0oEnNIPQmJNMPgiBhK78eSEcS60z5OqZpVIvs9n+Bu9j2HFRCNhYJbof+IeCEZk&#10;Ihm5U5QDPpiK2MyT8exvgSXjySJ6Bu0n47bRYN8iUJjV4DnhxyKl0oQq+X7bIySIW6iO2DwW0lQ5&#10;w68bfMEb5vw9szhG+Oi4GvwdfqSCrqQwSJTUYH++dR/w2N2opaTDsSyp+7FnVlCivmns+4t8Pg9z&#10;HA/z888FHuxLzfalRu/bDWBb5LiEDI9iwHs1itJC+4wbZB28ooppjr5Lyr0dDxuf1gXuIC7W6wjD&#10;2TXM3+hHwwN5KHDo0Kf+mVkztLHHAbiFcYTZ4lU3J2yw1LDee5BNbPVTXYfS49zHHhp2VFgsL88R&#10;ddqkq18AAAD//wMAUEsDBBQABgAIAAAAIQBokf0e3wAAAAoBAAAPAAAAZHJzL2Rvd25yZXYueG1s&#10;TI/LTsMwEEX3SPyDNUjsqE3Jow1xKoSgouwohLUbD0mEHyF22vD3DCtYzszRnXPLzWwNO+IYeu8k&#10;XC8EMHSN171rJby9Pl6tgIWonFbGO5TwjQE21flZqQrtT+4Fj/vYMgpxoVASuhiHgvPQdGhVWPgB&#10;Hd0+/GhVpHFsuR7VicKt4UshMm5V7+hDpwa877D53E9WwpTmu4f5/Wt7U4s6f65N+hS3g5SXF/Pd&#10;LbCIc/yD4Vef1KEip4OfnA7MSFjmCXWJEtJkDYyAJMtocSBSrNbAq5L/r1D9AAAA//8DAFBLAQIt&#10;ABQABgAIAAAAIQC2gziS/gAAAOEBAAATAAAAAAAAAAAAAAAAAAAAAABbQ29udGVudF9UeXBlc10u&#10;eG1sUEsBAi0AFAAGAAgAAAAhADj9If/WAAAAlAEAAAsAAAAAAAAAAAAAAAAALwEAAF9yZWxzLy5y&#10;ZWxzUEsBAi0AFAAGAAgAAAAhAM4Q6vSYAgAAkQUAAA4AAAAAAAAAAAAAAAAALgIAAGRycy9lMm9E&#10;b2MueG1sUEsBAi0AFAAGAAgAAAAhAGiR/R7fAAAACgEAAA8AAAAAAAAAAAAAAAAA8gQAAGRycy9k&#10;b3ducmV2LnhtbFBLBQYAAAAABAAEAPMAAAD+BQAAAAA=&#10;" fillcolor="white [3212]" stroked="f" strokeweight="2pt">
                <v:textbox>
                  <w:txbxContent>
                    <w:p w:rsidR="000B366B" w:rsidRPr="000B366B" w:rsidRDefault="000B366B" w:rsidP="000B366B">
                      <w:pPr>
                        <w:rPr>
                          <w:color w:val="000000" w:themeColor="text1"/>
                        </w:rPr>
                      </w:pPr>
                      <w:r w:rsidRPr="000B366B">
                        <w:rPr>
                          <w:color w:val="000000" w:themeColor="text1"/>
                        </w:rPr>
                        <w:t>Funding</w:t>
                      </w:r>
                    </w:p>
                  </w:txbxContent>
                </v:textbox>
              </v:rect>
            </w:pict>
          </mc:Fallback>
        </mc:AlternateContent>
      </w:r>
      <w:r>
        <w:rPr>
          <w:noProof/>
          <w:lang w:eastAsia="en-GB"/>
        </w:rPr>
        <mc:AlternateContent>
          <mc:Choice Requires="wps">
            <w:drawing>
              <wp:anchor distT="0" distB="0" distL="114300" distR="114300" simplePos="0" relativeHeight="251659264" behindDoc="0" locked="0" layoutInCell="1" allowOverlap="1" wp14:anchorId="538BAFBF" wp14:editId="30E20B54">
                <wp:simplePos x="0" y="0"/>
                <wp:positionH relativeFrom="column">
                  <wp:posOffset>3530600</wp:posOffset>
                </wp:positionH>
                <wp:positionV relativeFrom="paragraph">
                  <wp:posOffset>386715</wp:posOffset>
                </wp:positionV>
                <wp:extent cx="1689100" cy="292100"/>
                <wp:effectExtent l="0" t="0" r="6350" b="0"/>
                <wp:wrapNone/>
                <wp:docPr id="11" name="Rectangle 11"/>
                <wp:cNvGraphicFramePr/>
                <a:graphic xmlns:a="http://schemas.openxmlformats.org/drawingml/2006/main">
                  <a:graphicData uri="http://schemas.microsoft.com/office/word/2010/wordprocessingShape">
                    <wps:wsp>
                      <wps:cNvSpPr/>
                      <wps:spPr>
                        <a:xfrm>
                          <a:off x="0" y="0"/>
                          <a:ext cx="1689100" cy="292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366B" w:rsidRPr="000B366B" w:rsidRDefault="000B366B" w:rsidP="000B366B">
                            <w:pPr>
                              <w:rPr>
                                <w:color w:val="000000" w:themeColor="text1"/>
                              </w:rPr>
                            </w:pPr>
                            <w:r w:rsidRPr="000B366B">
                              <w:rPr>
                                <w:color w:val="000000" w:themeColor="text1"/>
                              </w:rPr>
                              <w:t xml:space="preserve">Net </w:t>
                            </w:r>
                            <w:r>
                              <w:rPr>
                                <w:color w:val="000000" w:themeColor="text1"/>
                              </w:rPr>
                              <w:t>Expenditure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7" style="position:absolute;margin-left:278pt;margin-top:30.45pt;width:133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9lmQIAAJgFAAAOAAAAZHJzL2Uyb0RvYy54bWysVFFP2zAQfp+0/2D5fSSpgEFFiioQ0yQE&#10;CJh4dh27iWT7PNtt0v36ne00BYb2MK0P6dl3993d57u7uBy0IlvhfAemptVRSYkwHJrOrGv64/nm&#10;yxklPjDTMAVG1HQnPL1cfP500du5mEELqhGOIIjx897WtA3BzovC81Zo5o/ACoNKCU6zgEe3LhrH&#10;ekTXqpiV5WnRg2usAy68x9vrrKSLhC+l4OFeSi8CUTXF3EL6uvRdxW+xuGDztWO27fiYBvuHLDTr&#10;DAadoK5ZYGTjuj+gdMcdeJDhiIMuQMqOi1QDVlOV76p5apkVqRYkx9uJJv//YPnd9sGRrsG3qygx&#10;TOMbPSJrzKyVIHiHBPXWz9HuyT648eRRjNUO0un4j3WQIZG6m0gVQyAcL6vTs/OqRO456mbnsygj&#10;THHwts6HbwI0iUJNHYZPXLLtrQ/ZdG8Sg3lQXXPTKZUOsVHElXJky/CJV+uUMYK/sVIm2hqIXhkw&#10;3hSxsFxKksJOiWinzKOQyAkmP0uJpG48BGGcCxOqrGpZI3LskxJ/Y2mTRyo0AUZkifEn7BHgbQF7&#10;7JzlaB9dRWrmybn8W2LZefJIkcGEyVl3BtxHAAqrGiNn+z1JmZrIUhhWQ+6XaBlvVtDssIcc5OHy&#10;lt90+JC3zIcH5nCa8O1xQ4R7/EgFfU1hlChpwf366D7aY5OjlpIep7Om/ueGOUGJ+m6w/c+r4+M4&#10;zulwfPJ1hgf3WrN6rTEbfQXYHdjhmF0So31Qe1E60C+4SJYxKqqY4Ri7pjy4/eEq5K2Bq4iL5TKZ&#10;4QhbFm7Nk+URPPIcG/V5eGHOjt0ccA7uYD/JbP6uqbNt9DSw3ASQXer4A6/jC+D4p1YaV1XcL6/P&#10;yeqwUBe/AQAA//8DAFBLAwQUAAYACAAAACEAepcX+N4AAAAKAQAADwAAAGRycy9kb3ducmV2Lnht&#10;bEyPwU7DMAyG70i8Q2QkbiyhqN1Wmk4IwQS7MSjnrDFtReOUJt3K22NOcLT96ff3F5vZ9eKIY+g8&#10;abheKBBItbcdNRreXh+vViBCNGRN7wk1fGOATXl+Vpjc+hO94HEfG8EhFHKjoY1xyKUMdYvOhIUf&#10;kPj24UdnIo9jI+1oThzuepkolUlnOuIPrRnwvsX6cz85DVO6fH6Y37+2N5WqlruqT5/idtD68mK+&#10;uwURcY5/MPzqszqU7HTwE9kgeg1pmnGXqCFTaxAMrJKEFwcmVbYGWRbyf4XyBwAA//8DAFBLAQIt&#10;ABQABgAIAAAAIQC2gziS/gAAAOEBAAATAAAAAAAAAAAAAAAAAAAAAABbQ29udGVudF9UeXBlc10u&#10;eG1sUEsBAi0AFAAGAAgAAAAhADj9If/WAAAAlAEAAAsAAAAAAAAAAAAAAAAALwEAAF9yZWxzLy5y&#10;ZWxzUEsBAi0AFAAGAAgAAAAhAEfYr2WZAgAAmAUAAA4AAAAAAAAAAAAAAAAALgIAAGRycy9lMm9E&#10;b2MueG1sUEsBAi0AFAAGAAgAAAAhAHqXF/jeAAAACgEAAA8AAAAAAAAAAAAAAAAA8wQAAGRycy9k&#10;b3ducmV2LnhtbFBLBQYAAAAABAAEAPMAAAD+BQAAAAA=&#10;" fillcolor="white [3212]" stroked="f" strokeweight="2pt">
                <v:textbox>
                  <w:txbxContent>
                    <w:p w:rsidR="000B366B" w:rsidRPr="000B366B" w:rsidRDefault="000B366B" w:rsidP="000B366B">
                      <w:pPr>
                        <w:rPr>
                          <w:color w:val="000000" w:themeColor="text1"/>
                        </w:rPr>
                      </w:pPr>
                      <w:r w:rsidRPr="000B366B">
                        <w:rPr>
                          <w:color w:val="000000" w:themeColor="text1"/>
                        </w:rPr>
                        <w:t xml:space="preserve">Net </w:t>
                      </w:r>
                      <w:r>
                        <w:rPr>
                          <w:color w:val="000000" w:themeColor="text1"/>
                        </w:rPr>
                        <w:t>Expenditure</w:t>
                      </w:r>
                    </w:p>
                  </w:txbxContent>
                </v:textbox>
              </v:rect>
            </w:pict>
          </mc:Fallback>
        </mc:AlternateContent>
      </w:r>
      <w:r w:rsidRPr="000B366B">
        <w:rPr>
          <w:noProof/>
          <w:lang w:eastAsia="en-GB"/>
        </w:rPr>
        <w:drawing>
          <wp:inline distT="0" distB="0" distL="0" distR="0" wp14:anchorId="6AD9604B" wp14:editId="305001BA">
            <wp:extent cx="5731510" cy="3315683"/>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315683"/>
                    </a:xfrm>
                    <a:prstGeom prst="rect">
                      <a:avLst/>
                    </a:prstGeom>
                    <a:noFill/>
                    <a:ln>
                      <a:noFill/>
                    </a:ln>
                  </pic:spPr>
                </pic:pic>
              </a:graphicData>
            </a:graphic>
          </wp:inline>
        </w:drawing>
      </w:r>
    </w:p>
    <w:p w:rsidR="006C3071" w:rsidRDefault="006C3071">
      <w:pPr>
        <w:rPr>
          <w:rFonts w:ascii="Arial" w:hAnsi="Arial" w:cs="Arial"/>
          <w:b/>
          <w:i/>
          <w:color w:val="943634" w:themeColor="accent2" w:themeShade="BF"/>
          <w:sz w:val="24"/>
          <w:szCs w:val="24"/>
        </w:rPr>
      </w:pPr>
    </w:p>
    <w:p w:rsidR="00F00686" w:rsidRDefault="00F00686">
      <w:pPr>
        <w:rPr>
          <w:rFonts w:ascii="Arial" w:hAnsi="Arial" w:cs="Arial"/>
          <w:b/>
          <w:i/>
          <w:color w:val="943634" w:themeColor="accent2" w:themeShade="BF"/>
          <w:sz w:val="24"/>
          <w:szCs w:val="24"/>
        </w:rPr>
      </w:pPr>
    </w:p>
    <w:p w:rsidR="00E23AFD" w:rsidRPr="00EE6F7F" w:rsidRDefault="00F00686" w:rsidP="00EE6F7F">
      <w:pPr>
        <w:pStyle w:val="ListParagraph"/>
        <w:ind w:left="360"/>
        <w:rPr>
          <w:rFonts w:ascii="Arial" w:hAnsi="Arial" w:cs="Arial"/>
          <w:i/>
          <w:color w:val="943634" w:themeColor="accent2" w:themeShade="BF"/>
          <w:sz w:val="24"/>
          <w:szCs w:val="24"/>
        </w:rPr>
      </w:pPr>
      <w:r w:rsidRPr="00EE6F7F">
        <w:rPr>
          <w:rFonts w:ascii="Arial" w:hAnsi="Arial" w:cs="Arial"/>
          <w:i/>
          <w:color w:val="943634" w:themeColor="accent2" w:themeShade="BF"/>
          <w:sz w:val="24"/>
          <w:szCs w:val="24"/>
        </w:rPr>
        <w:t>Impact of varied settlements to date</w:t>
      </w:r>
    </w:p>
    <w:p w:rsidR="00E23AFD" w:rsidRDefault="00E23AFD">
      <w:pPr>
        <w:rPr>
          <w:rFonts w:ascii="Arial" w:hAnsi="Arial" w:cs="Arial"/>
          <w:sz w:val="24"/>
          <w:szCs w:val="24"/>
        </w:rPr>
      </w:pPr>
    </w:p>
    <w:p w:rsidR="008A4CF5" w:rsidRPr="00EE6F7F" w:rsidRDefault="008A4CF5" w:rsidP="00EE6F7F">
      <w:pPr>
        <w:pStyle w:val="ListParagraph"/>
        <w:numPr>
          <w:ilvl w:val="0"/>
          <w:numId w:val="17"/>
        </w:numPr>
        <w:rPr>
          <w:rFonts w:ascii="Arial" w:hAnsi="Arial" w:cs="Arial"/>
          <w:sz w:val="24"/>
          <w:szCs w:val="24"/>
        </w:rPr>
      </w:pPr>
      <w:r w:rsidRPr="00EE6F7F">
        <w:rPr>
          <w:rFonts w:ascii="Arial" w:hAnsi="Arial" w:cs="Arial"/>
          <w:sz w:val="24"/>
          <w:szCs w:val="24"/>
        </w:rPr>
        <w:t xml:space="preserve">Without equalisation, it is not difficult to appreciate that authorities with the lowest increases in rate income and the highest increases in service demand will face the greatest gap of the sort illustrated above. Evidence of this was already emerging in 2014 </w:t>
      </w:r>
      <w:r w:rsidR="000F31A5" w:rsidRPr="00EE6F7F">
        <w:rPr>
          <w:rFonts w:ascii="Arial" w:hAnsi="Arial" w:cs="Arial"/>
          <w:sz w:val="24"/>
          <w:szCs w:val="24"/>
        </w:rPr>
        <w:t>when the National Audit O</w:t>
      </w:r>
      <w:r w:rsidRPr="00EE6F7F">
        <w:rPr>
          <w:rFonts w:ascii="Arial" w:hAnsi="Arial" w:cs="Arial"/>
          <w:sz w:val="24"/>
          <w:szCs w:val="24"/>
        </w:rPr>
        <w:t>ffice reported</w:t>
      </w:r>
      <w:r w:rsidR="000F31A5">
        <w:rPr>
          <w:rStyle w:val="FootnoteReference"/>
          <w:rFonts w:ascii="Arial" w:hAnsi="Arial" w:cs="Arial"/>
          <w:sz w:val="24"/>
          <w:szCs w:val="24"/>
        </w:rPr>
        <w:footnoteReference w:id="8"/>
      </w:r>
      <w:r w:rsidRPr="00EE6F7F">
        <w:rPr>
          <w:rFonts w:ascii="Arial" w:hAnsi="Arial" w:cs="Arial"/>
          <w:sz w:val="24"/>
          <w:szCs w:val="24"/>
        </w:rPr>
        <w:t xml:space="preserve"> that local auditors had found that metropolitan authorities outside London and unitary authorities faced the greatest di</w:t>
      </w:r>
      <w:r w:rsidR="006C3071" w:rsidRPr="00EE6F7F">
        <w:rPr>
          <w:rFonts w:ascii="Arial" w:hAnsi="Arial" w:cs="Arial"/>
          <w:sz w:val="24"/>
          <w:szCs w:val="24"/>
        </w:rPr>
        <w:t xml:space="preserve">fficulties in delivering </w:t>
      </w:r>
      <w:r w:rsidRPr="00EE6F7F">
        <w:rPr>
          <w:rFonts w:ascii="Arial" w:hAnsi="Arial" w:cs="Arial"/>
          <w:sz w:val="24"/>
          <w:szCs w:val="24"/>
        </w:rPr>
        <w:t>budgets.</w:t>
      </w:r>
    </w:p>
    <w:p w:rsidR="008A4CF5" w:rsidRDefault="008A4CF5">
      <w:pPr>
        <w:rPr>
          <w:rFonts w:ascii="Arial" w:hAnsi="Arial" w:cs="Arial"/>
          <w:sz w:val="24"/>
          <w:szCs w:val="24"/>
        </w:rPr>
      </w:pPr>
    </w:p>
    <w:p w:rsidR="008A4CF5" w:rsidRPr="00EE6F7F" w:rsidRDefault="008A4CF5" w:rsidP="00EE6F7F">
      <w:pPr>
        <w:pStyle w:val="ListParagraph"/>
        <w:ind w:left="360"/>
        <w:rPr>
          <w:rFonts w:ascii="Arial" w:hAnsi="Arial" w:cs="Arial"/>
          <w:sz w:val="24"/>
          <w:szCs w:val="24"/>
        </w:rPr>
      </w:pPr>
      <w:r w:rsidRPr="008A4CF5">
        <w:rPr>
          <w:noProof/>
          <w:lang w:eastAsia="en-GB"/>
        </w:rPr>
        <w:lastRenderedPageBreak/>
        <w:drawing>
          <wp:inline distT="0" distB="0" distL="0" distR="0" wp14:anchorId="328325B7" wp14:editId="6C4AA842">
            <wp:extent cx="4178300" cy="47464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178300" cy="4746402"/>
                    </a:xfrm>
                    <a:prstGeom prst="rect">
                      <a:avLst/>
                    </a:prstGeom>
                  </pic:spPr>
                </pic:pic>
              </a:graphicData>
            </a:graphic>
          </wp:inline>
        </w:drawing>
      </w:r>
    </w:p>
    <w:p w:rsidR="008A4CF5" w:rsidRDefault="008A4CF5">
      <w:pPr>
        <w:rPr>
          <w:rFonts w:ascii="Arial" w:hAnsi="Arial" w:cs="Arial"/>
          <w:sz w:val="24"/>
          <w:szCs w:val="24"/>
        </w:rPr>
      </w:pPr>
    </w:p>
    <w:p w:rsidR="00E23AFD" w:rsidRPr="00EE6F7F" w:rsidRDefault="00E23AFD" w:rsidP="00185048">
      <w:pPr>
        <w:pStyle w:val="ListParagraph"/>
        <w:numPr>
          <w:ilvl w:val="1"/>
          <w:numId w:val="17"/>
        </w:numPr>
        <w:rPr>
          <w:rFonts w:ascii="Arial" w:hAnsi="Arial" w:cs="Arial"/>
          <w:sz w:val="24"/>
          <w:szCs w:val="24"/>
        </w:rPr>
      </w:pPr>
      <w:r w:rsidRPr="00EE6F7F">
        <w:rPr>
          <w:rFonts w:ascii="Arial" w:hAnsi="Arial" w:cs="Arial"/>
          <w:sz w:val="24"/>
          <w:szCs w:val="24"/>
        </w:rPr>
        <w:t xml:space="preserve">Disturbingly, the same report commented that </w:t>
      </w:r>
      <w:r w:rsidR="000F31A5" w:rsidRPr="00EE6F7F">
        <w:rPr>
          <w:rFonts w:ascii="Arial" w:hAnsi="Arial" w:cs="Arial"/>
          <w:sz w:val="24"/>
          <w:szCs w:val="24"/>
        </w:rPr>
        <w:t xml:space="preserve"> “[</w:t>
      </w:r>
      <w:r w:rsidRPr="00EE6F7F">
        <w:rPr>
          <w:rFonts w:ascii="Arial" w:hAnsi="Arial" w:cs="Arial"/>
          <w:sz w:val="24"/>
          <w:szCs w:val="24"/>
        </w:rPr>
        <w:t>DCLG</w:t>
      </w:r>
      <w:r w:rsidR="000F31A5" w:rsidRPr="00EE6F7F">
        <w:rPr>
          <w:rFonts w:ascii="Arial" w:hAnsi="Arial" w:cs="Arial"/>
          <w:sz w:val="24"/>
          <w:szCs w:val="24"/>
        </w:rPr>
        <w:t>]</w:t>
      </w:r>
      <w:r w:rsidRPr="00EE6F7F">
        <w:rPr>
          <w:rFonts w:ascii="Arial" w:hAnsi="Arial" w:cs="Arial"/>
          <w:sz w:val="24"/>
          <w:szCs w:val="24"/>
        </w:rPr>
        <w:t xml:space="preserve"> has a limited understanding of the financial sustainability of local authorities and the extent to which they may be at risk of financial failure</w:t>
      </w:r>
      <w:r w:rsidR="000F31A5" w:rsidRPr="00EE6F7F">
        <w:rPr>
          <w:rFonts w:ascii="Arial" w:hAnsi="Arial" w:cs="Arial"/>
          <w:sz w:val="24"/>
          <w:szCs w:val="24"/>
        </w:rPr>
        <w:t>”</w:t>
      </w:r>
      <w:r w:rsidRPr="00EE6F7F">
        <w:rPr>
          <w:rFonts w:ascii="Arial" w:hAnsi="Arial" w:cs="Arial"/>
          <w:sz w:val="24"/>
          <w:szCs w:val="24"/>
        </w:rPr>
        <w:t>.</w:t>
      </w:r>
    </w:p>
    <w:p w:rsidR="000F31A5" w:rsidRDefault="000F31A5">
      <w:pPr>
        <w:rPr>
          <w:rFonts w:ascii="Arial" w:hAnsi="Arial" w:cs="Arial"/>
          <w:sz w:val="24"/>
          <w:szCs w:val="24"/>
        </w:rPr>
      </w:pPr>
    </w:p>
    <w:p w:rsidR="000F31A5" w:rsidRPr="00EE6F7F" w:rsidRDefault="000F31A5" w:rsidP="00185048">
      <w:pPr>
        <w:pStyle w:val="ListParagraph"/>
        <w:numPr>
          <w:ilvl w:val="1"/>
          <w:numId w:val="17"/>
        </w:numPr>
        <w:rPr>
          <w:rFonts w:ascii="Arial" w:hAnsi="Arial" w:cs="Arial"/>
          <w:b/>
          <w:sz w:val="24"/>
          <w:szCs w:val="24"/>
        </w:rPr>
      </w:pPr>
      <w:r w:rsidRPr="00EE6F7F">
        <w:rPr>
          <w:rFonts w:ascii="Arial" w:hAnsi="Arial" w:cs="Arial"/>
          <w:b/>
          <w:sz w:val="24"/>
          <w:szCs w:val="24"/>
        </w:rPr>
        <w:t xml:space="preserve">We ask the Committee to examine the extent to which the Department has addressed this criticism and what measures will </w:t>
      </w:r>
      <w:r w:rsidR="006C3071" w:rsidRPr="00EE6F7F">
        <w:rPr>
          <w:rFonts w:ascii="Arial" w:hAnsi="Arial" w:cs="Arial"/>
          <w:b/>
          <w:sz w:val="24"/>
          <w:szCs w:val="24"/>
        </w:rPr>
        <w:t>be taken,</w:t>
      </w:r>
      <w:r w:rsidRPr="00EE6F7F">
        <w:rPr>
          <w:rFonts w:ascii="Arial" w:hAnsi="Arial" w:cs="Arial"/>
          <w:b/>
          <w:sz w:val="24"/>
          <w:szCs w:val="24"/>
        </w:rPr>
        <w:t xml:space="preserve">  in the move to 100% rate retention</w:t>
      </w:r>
      <w:r w:rsidR="006C3071" w:rsidRPr="00EE6F7F">
        <w:rPr>
          <w:rFonts w:ascii="Arial" w:hAnsi="Arial" w:cs="Arial"/>
          <w:b/>
          <w:sz w:val="24"/>
          <w:szCs w:val="24"/>
        </w:rPr>
        <w:t>,</w:t>
      </w:r>
      <w:r w:rsidRPr="00EE6F7F">
        <w:rPr>
          <w:rFonts w:ascii="Arial" w:hAnsi="Arial" w:cs="Arial"/>
          <w:b/>
          <w:sz w:val="24"/>
          <w:szCs w:val="24"/>
        </w:rPr>
        <w:t xml:space="preserve"> to monitor and ensure the future financial sustainability of authorities</w:t>
      </w:r>
      <w:r w:rsidR="009819EC" w:rsidRPr="00EE6F7F">
        <w:rPr>
          <w:rFonts w:ascii="Arial" w:hAnsi="Arial" w:cs="Arial"/>
          <w:b/>
          <w:sz w:val="24"/>
          <w:szCs w:val="24"/>
        </w:rPr>
        <w:t>, at individual authority level</w:t>
      </w:r>
      <w:r w:rsidRPr="00EE6F7F">
        <w:rPr>
          <w:rFonts w:ascii="Arial" w:hAnsi="Arial" w:cs="Arial"/>
          <w:b/>
          <w:sz w:val="24"/>
          <w:szCs w:val="24"/>
        </w:rPr>
        <w:t>.</w:t>
      </w:r>
    </w:p>
    <w:p w:rsidR="009819EC" w:rsidRDefault="009819EC">
      <w:pPr>
        <w:rPr>
          <w:rFonts w:ascii="Arial" w:hAnsi="Arial" w:cs="Arial"/>
          <w:i/>
          <w:color w:val="943634" w:themeColor="accent2" w:themeShade="BF"/>
          <w:sz w:val="24"/>
          <w:szCs w:val="24"/>
        </w:rPr>
      </w:pPr>
    </w:p>
    <w:p w:rsidR="00C90912" w:rsidRDefault="00C90912">
      <w:pPr>
        <w:rPr>
          <w:rFonts w:ascii="Arial" w:hAnsi="Arial" w:cs="Arial"/>
          <w:i/>
          <w:color w:val="943634" w:themeColor="accent2" w:themeShade="BF"/>
          <w:sz w:val="24"/>
          <w:szCs w:val="24"/>
        </w:rPr>
      </w:pPr>
    </w:p>
    <w:p w:rsidR="009819EC" w:rsidRPr="00EE6F7F" w:rsidRDefault="009819EC" w:rsidP="00EE6F7F">
      <w:pPr>
        <w:pStyle w:val="ListParagraph"/>
        <w:ind w:left="360"/>
        <w:rPr>
          <w:rFonts w:ascii="Arial" w:hAnsi="Arial" w:cs="Arial"/>
          <w:i/>
          <w:color w:val="943634" w:themeColor="accent2" w:themeShade="BF"/>
          <w:sz w:val="24"/>
          <w:szCs w:val="24"/>
        </w:rPr>
      </w:pPr>
      <w:r w:rsidRPr="00EE6F7F">
        <w:rPr>
          <w:rFonts w:ascii="Arial" w:hAnsi="Arial" w:cs="Arial"/>
          <w:i/>
          <w:color w:val="943634" w:themeColor="accent2" w:themeShade="BF"/>
          <w:sz w:val="24"/>
          <w:szCs w:val="24"/>
        </w:rPr>
        <w:t xml:space="preserve">The 2015 Settlement – future implications for poorer </w:t>
      </w:r>
      <w:r w:rsidR="00C90912" w:rsidRPr="00EE6F7F">
        <w:rPr>
          <w:rFonts w:ascii="Arial" w:hAnsi="Arial" w:cs="Arial"/>
          <w:i/>
          <w:color w:val="943634" w:themeColor="accent2" w:themeShade="BF"/>
          <w:sz w:val="24"/>
          <w:szCs w:val="24"/>
        </w:rPr>
        <w:t>authorities</w:t>
      </w:r>
    </w:p>
    <w:p w:rsidR="009819EC" w:rsidRPr="009819EC" w:rsidRDefault="009819EC">
      <w:pPr>
        <w:rPr>
          <w:rFonts w:ascii="Arial" w:hAnsi="Arial" w:cs="Arial"/>
          <w:i/>
          <w:color w:val="943634" w:themeColor="accent2" w:themeShade="BF"/>
          <w:sz w:val="24"/>
          <w:szCs w:val="24"/>
        </w:rPr>
      </w:pPr>
    </w:p>
    <w:p w:rsidR="006C3071" w:rsidRPr="00EE6F7F" w:rsidRDefault="004636CA" w:rsidP="00EE6F7F">
      <w:pPr>
        <w:pStyle w:val="ListParagraph"/>
        <w:numPr>
          <w:ilvl w:val="0"/>
          <w:numId w:val="17"/>
        </w:numPr>
        <w:rPr>
          <w:rFonts w:ascii="Arial" w:hAnsi="Arial" w:cs="Arial"/>
          <w:sz w:val="24"/>
          <w:szCs w:val="24"/>
        </w:rPr>
      </w:pPr>
      <w:r w:rsidRPr="00EE6F7F">
        <w:rPr>
          <w:rFonts w:ascii="Arial" w:hAnsi="Arial" w:cs="Arial"/>
          <w:sz w:val="24"/>
          <w:szCs w:val="24"/>
        </w:rPr>
        <w:t xml:space="preserve">The move to 100% rate retention is proposed as a fiscally neutral option, with future increased income offset by additional financial burdens. From the recent settlement “offer” to 2019-20 we know that the core </w:t>
      </w:r>
      <w:r w:rsidR="008B77E1" w:rsidRPr="00EE6F7F">
        <w:rPr>
          <w:rFonts w:ascii="Arial" w:hAnsi="Arial" w:cs="Arial"/>
          <w:sz w:val="24"/>
          <w:szCs w:val="24"/>
        </w:rPr>
        <w:t>Spending Power</w:t>
      </w:r>
      <w:r w:rsidRPr="00EE6F7F">
        <w:rPr>
          <w:rFonts w:ascii="Arial" w:hAnsi="Arial" w:cs="Arial"/>
          <w:sz w:val="24"/>
          <w:szCs w:val="24"/>
        </w:rPr>
        <w:t xml:space="preserve"> of authorities will decline </w:t>
      </w:r>
      <w:r w:rsidR="009819EC" w:rsidRPr="00EE6F7F">
        <w:rPr>
          <w:rFonts w:ascii="Arial" w:hAnsi="Arial" w:cs="Arial"/>
          <w:sz w:val="24"/>
          <w:szCs w:val="24"/>
        </w:rPr>
        <w:t xml:space="preserve">on average </w:t>
      </w:r>
      <w:r w:rsidRPr="00EE6F7F">
        <w:rPr>
          <w:rFonts w:ascii="Arial" w:hAnsi="Arial" w:cs="Arial"/>
          <w:sz w:val="24"/>
          <w:szCs w:val="24"/>
        </w:rPr>
        <w:t xml:space="preserve">by 0.5 % </w:t>
      </w:r>
      <w:r w:rsidR="00E23AFD" w:rsidRPr="00EE6F7F">
        <w:rPr>
          <w:rFonts w:ascii="Arial" w:hAnsi="Arial" w:cs="Arial"/>
          <w:sz w:val="24"/>
          <w:szCs w:val="24"/>
        </w:rPr>
        <w:t xml:space="preserve">in cash terms </w:t>
      </w:r>
      <w:r w:rsidRPr="00EE6F7F">
        <w:rPr>
          <w:rFonts w:ascii="Arial" w:hAnsi="Arial" w:cs="Arial"/>
          <w:sz w:val="24"/>
          <w:szCs w:val="24"/>
        </w:rPr>
        <w:t>over the next four years. For our members</w:t>
      </w:r>
      <w:r w:rsidR="00E23AFD" w:rsidRPr="00EE6F7F">
        <w:rPr>
          <w:rFonts w:ascii="Arial" w:hAnsi="Arial" w:cs="Arial"/>
          <w:sz w:val="24"/>
          <w:szCs w:val="24"/>
        </w:rPr>
        <w:t xml:space="preserve">, </w:t>
      </w:r>
      <w:r w:rsidR="006C3071" w:rsidRPr="00EE6F7F">
        <w:rPr>
          <w:rFonts w:ascii="Arial" w:hAnsi="Arial" w:cs="Arial"/>
          <w:sz w:val="24"/>
          <w:szCs w:val="24"/>
        </w:rPr>
        <w:t>the poorest metropolitan and unitar</w:t>
      </w:r>
      <w:r w:rsidR="008B77E1" w:rsidRPr="00EE6F7F">
        <w:rPr>
          <w:rFonts w:ascii="Arial" w:hAnsi="Arial" w:cs="Arial"/>
          <w:sz w:val="24"/>
          <w:szCs w:val="24"/>
        </w:rPr>
        <w:t xml:space="preserve">y authorities, </w:t>
      </w:r>
      <w:r w:rsidR="00122DA6" w:rsidRPr="00EE6F7F">
        <w:rPr>
          <w:rFonts w:ascii="Arial" w:hAnsi="Arial" w:cs="Arial"/>
          <w:sz w:val="24"/>
          <w:szCs w:val="24"/>
        </w:rPr>
        <w:t xml:space="preserve"> the </w:t>
      </w:r>
      <w:r w:rsidR="009819EC" w:rsidRPr="00EE6F7F">
        <w:rPr>
          <w:rFonts w:ascii="Arial" w:hAnsi="Arial" w:cs="Arial"/>
          <w:sz w:val="24"/>
          <w:szCs w:val="24"/>
        </w:rPr>
        <w:t xml:space="preserve">average decline is 1.5% </w:t>
      </w:r>
      <w:r w:rsidR="0084793F">
        <w:rPr>
          <w:rStyle w:val="FootnoteReference"/>
          <w:rFonts w:ascii="Arial" w:hAnsi="Arial" w:cs="Arial"/>
          <w:sz w:val="24"/>
          <w:szCs w:val="24"/>
        </w:rPr>
        <w:footnoteReference w:id="9"/>
      </w:r>
      <w:r w:rsidR="00E23AFD" w:rsidRPr="00EE6F7F">
        <w:rPr>
          <w:rFonts w:ascii="Arial" w:hAnsi="Arial" w:cs="Arial"/>
          <w:sz w:val="24"/>
          <w:szCs w:val="24"/>
        </w:rPr>
        <w:t>.</w:t>
      </w:r>
    </w:p>
    <w:p w:rsidR="006C3071" w:rsidRDefault="006C3071">
      <w:pPr>
        <w:rPr>
          <w:rFonts w:ascii="Arial" w:hAnsi="Arial" w:cs="Arial"/>
          <w:sz w:val="24"/>
          <w:szCs w:val="24"/>
        </w:rPr>
      </w:pPr>
    </w:p>
    <w:p w:rsidR="004636CA" w:rsidRPr="00EE6F7F" w:rsidRDefault="00E23AFD" w:rsidP="00185048">
      <w:pPr>
        <w:pStyle w:val="ListParagraph"/>
        <w:numPr>
          <w:ilvl w:val="1"/>
          <w:numId w:val="17"/>
        </w:numPr>
        <w:rPr>
          <w:rFonts w:ascii="Arial" w:hAnsi="Arial" w:cs="Arial"/>
          <w:sz w:val="24"/>
          <w:szCs w:val="24"/>
        </w:rPr>
      </w:pPr>
      <w:r w:rsidRPr="00EE6F7F">
        <w:rPr>
          <w:rFonts w:ascii="Arial" w:hAnsi="Arial" w:cs="Arial"/>
          <w:sz w:val="24"/>
          <w:szCs w:val="24"/>
        </w:rPr>
        <w:t>A rebalancing of needs with demand that takes into account local resource is therefore essential to us.</w:t>
      </w:r>
    </w:p>
    <w:p w:rsidR="004636CA" w:rsidRDefault="004636CA">
      <w:pPr>
        <w:rPr>
          <w:rFonts w:ascii="Arial" w:hAnsi="Arial" w:cs="Arial"/>
          <w:sz w:val="24"/>
          <w:szCs w:val="24"/>
        </w:rPr>
      </w:pPr>
    </w:p>
    <w:p w:rsidR="008A4CF5" w:rsidRPr="00EE6F7F" w:rsidRDefault="008A4CF5" w:rsidP="00185048">
      <w:pPr>
        <w:pStyle w:val="ListParagraph"/>
        <w:numPr>
          <w:ilvl w:val="1"/>
          <w:numId w:val="17"/>
        </w:numPr>
        <w:rPr>
          <w:rFonts w:ascii="Arial" w:hAnsi="Arial" w:cs="Arial"/>
          <w:b/>
          <w:sz w:val="24"/>
          <w:szCs w:val="24"/>
        </w:rPr>
      </w:pPr>
      <w:r w:rsidRPr="00EE6F7F">
        <w:rPr>
          <w:rFonts w:ascii="Arial" w:hAnsi="Arial" w:cs="Arial"/>
          <w:sz w:val="24"/>
          <w:szCs w:val="24"/>
        </w:rPr>
        <w:lastRenderedPageBreak/>
        <w:t>This equalisation could</w:t>
      </w:r>
      <w:r w:rsidR="006C3071" w:rsidRPr="00EE6F7F">
        <w:rPr>
          <w:rFonts w:ascii="Arial" w:hAnsi="Arial" w:cs="Arial"/>
          <w:sz w:val="24"/>
          <w:szCs w:val="24"/>
        </w:rPr>
        <w:t>,</w:t>
      </w:r>
      <w:r w:rsidRPr="00EE6F7F">
        <w:rPr>
          <w:rFonts w:ascii="Arial" w:hAnsi="Arial" w:cs="Arial"/>
          <w:sz w:val="24"/>
          <w:szCs w:val="24"/>
        </w:rPr>
        <w:t xml:space="preserve"> at its simplest</w:t>
      </w:r>
      <w:r w:rsidR="006C3071" w:rsidRPr="00EE6F7F">
        <w:rPr>
          <w:rFonts w:ascii="Arial" w:hAnsi="Arial" w:cs="Arial"/>
          <w:sz w:val="24"/>
          <w:szCs w:val="24"/>
        </w:rPr>
        <w:t>,</w:t>
      </w:r>
      <w:r w:rsidRPr="00EE6F7F">
        <w:rPr>
          <w:rFonts w:ascii="Arial" w:hAnsi="Arial" w:cs="Arial"/>
          <w:sz w:val="24"/>
          <w:szCs w:val="24"/>
        </w:rPr>
        <w:t xml:space="preserve"> update the data within the four block model but we suggest this is </w:t>
      </w:r>
      <w:r w:rsidRPr="00EE6F7F">
        <w:rPr>
          <w:rFonts w:ascii="Arial" w:hAnsi="Arial" w:cs="Arial"/>
          <w:b/>
          <w:sz w:val="24"/>
          <w:szCs w:val="24"/>
        </w:rPr>
        <w:t xml:space="preserve">an opportunity for government </w:t>
      </w:r>
      <w:r w:rsidR="004636CA" w:rsidRPr="00EE6F7F">
        <w:rPr>
          <w:rFonts w:ascii="Arial" w:hAnsi="Arial" w:cs="Arial"/>
          <w:b/>
          <w:sz w:val="24"/>
          <w:szCs w:val="24"/>
        </w:rPr>
        <w:t>to undertake or commission research</w:t>
      </w:r>
      <w:r w:rsidRPr="00EE6F7F">
        <w:rPr>
          <w:rFonts w:ascii="Arial" w:hAnsi="Arial" w:cs="Arial"/>
          <w:b/>
          <w:sz w:val="24"/>
          <w:szCs w:val="24"/>
        </w:rPr>
        <w:t xml:space="preserve"> to est</w:t>
      </w:r>
      <w:r w:rsidR="006C3071" w:rsidRPr="00EE6F7F">
        <w:rPr>
          <w:rFonts w:ascii="Arial" w:hAnsi="Arial" w:cs="Arial"/>
          <w:b/>
          <w:sz w:val="24"/>
          <w:szCs w:val="24"/>
        </w:rPr>
        <w:t xml:space="preserve">ablish what are the baseline </w:t>
      </w:r>
      <w:r w:rsidRPr="00EE6F7F">
        <w:rPr>
          <w:rFonts w:ascii="Arial" w:hAnsi="Arial" w:cs="Arial"/>
          <w:b/>
          <w:sz w:val="24"/>
          <w:szCs w:val="24"/>
        </w:rPr>
        <w:t>service</w:t>
      </w:r>
      <w:r w:rsidR="006C3071" w:rsidRPr="00EE6F7F">
        <w:rPr>
          <w:rFonts w:ascii="Arial" w:hAnsi="Arial" w:cs="Arial"/>
          <w:b/>
          <w:sz w:val="24"/>
          <w:szCs w:val="24"/>
        </w:rPr>
        <w:t>s</w:t>
      </w:r>
      <w:r w:rsidRPr="00EE6F7F">
        <w:rPr>
          <w:rFonts w:ascii="Arial" w:hAnsi="Arial" w:cs="Arial"/>
          <w:b/>
          <w:sz w:val="24"/>
          <w:szCs w:val="24"/>
        </w:rPr>
        <w:t xml:space="preserve"> that every authority is required to deliver, what the local </w:t>
      </w:r>
      <w:r w:rsidR="004636CA" w:rsidRPr="00EE6F7F">
        <w:rPr>
          <w:rFonts w:ascii="Arial" w:hAnsi="Arial" w:cs="Arial"/>
          <w:b/>
          <w:sz w:val="24"/>
          <w:szCs w:val="24"/>
        </w:rPr>
        <w:t xml:space="preserve">demand is for </w:t>
      </w:r>
      <w:r w:rsidR="006C3071" w:rsidRPr="00EE6F7F">
        <w:rPr>
          <w:rFonts w:ascii="Arial" w:hAnsi="Arial" w:cs="Arial"/>
          <w:b/>
          <w:sz w:val="24"/>
          <w:szCs w:val="24"/>
        </w:rPr>
        <w:t xml:space="preserve">those </w:t>
      </w:r>
      <w:r w:rsidR="004636CA" w:rsidRPr="00EE6F7F">
        <w:rPr>
          <w:rFonts w:ascii="Arial" w:hAnsi="Arial" w:cs="Arial"/>
          <w:b/>
          <w:sz w:val="24"/>
          <w:szCs w:val="24"/>
        </w:rPr>
        <w:t>services and what is the cost of delive</w:t>
      </w:r>
      <w:r w:rsidR="006C3071" w:rsidRPr="00EE6F7F">
        <w:rPr>
          <w:rFonts w:ascii="Arial" w:hAnsi="Arial" w:cs="Arial"/>
          <w:b/>
          <w:sz w:val="24"/>
          <w:szCs w:val="24"/>
        </w:rPr>
        <w:t>ring them</w:t>
      </w:r>
      <w:r w:rsidR="004636CA" w:rsidRPr="00EE6F7F">
        <w:rPr>
          <w:rFonts w:ascii="Arial" w:hAnsi="Arial" w:cs="Arial"/>
          <w:b/>
          <w:sz w:val="24"/>
          <w:szCs w:val="24"/>
        </w:rPr>
        <w:t>.</w:t>
      </w:r>
    </w:p>
    <w:p w:rsidR="000F31A5" w:rsidRDefault="000F31A5">
      <w:pPr>
        <w:rPr>
          <w:rFonts w:ascii="Arial" w:hAnsi="Arial" w:cs="Arial"/>
          <w:b/>
          <w:sz w:val="24"/>
          <w:szCs w:val="24"/>
        </w:rPr>
      </w:pPr>
    </w:p>
    <w:p w:rsidR="001546AD" w:rsidRPr="00EE6F7F" w:rsidRDefault="001546AD" w:rsidP="00EE6F7F">
      <w:pPr>
        <w:pStyle w:val="ListParagraph"/>
        <w:ind w:left="360"/>
        <w:rPr>
          <w:rFonts w:ascii="Arial" w:hAnsi="Arial" w:cs="Arial"/>
          <w:i/>
          <w:color w:val="943634" w:themeColor="accent2" w:themeShade="BF"/>
          <w:sz w:val="24"/>
          <w:szCs w:val="24"/>
        </w:rPr>
      </w:pPr>
      <w:r w:rsidRPr="00EE6F7F">
        <w:rPr>
          <w:rFonts w:ascii="Arial" w:hAnsi="Arial" w:cs="Arial"/>
          <w:i/>
          <w:color w:val="943634" w:themeColor="accent2" w:themeShade="BF"/>
          <w:sz w:val="24"/>
          <w:szCs w:val="24"/>
        </w:rPr>
        <w:t>V</w:t>
      </w:r>
      <w:r w:rsidR="00D50FCB" w:rsidRPr="00EE6F7F">
        <w:rPr>
          <w:rFonts w:ascii="Arial" w:hAnsi="Arial" w:cs="Arial"/>
          <w:i/>
          <w:color w:val="943634" w:themeColor="accent2" w:themeShade="BF"/>
          <w:sz w:val="24"/>
          <w:szCs w:val="24"/>
        </w:rPr>
        <w:t>arying sizes of business rate base</w:t>
      </w:r>
    </w:p>
    <w:p w:rsidR="001546AD" w:rsidRDefault="001546AD">
      <w:pPr>
        <w:rPr>
          <w:rFonts w:ascii="Arial" w:hAnsi="Arial" w:cs="Arial"/>
          <w:sz w:val="24"/>
          <w:szCs w:val="24"/>
        </w:rPr>
      </w:pPr>
    </w:p>
    <w:p w:rsidR="001546AD" w:rsidRPr="00EE6F7F" w:rsidRDefault="001546AD" w:rsidP="00EE6F7F">
      <w:pPr>
        <w:pStyle w:val="ListParagraph"/>
        <w:numPr>
          <w:ilvl w:val="0"/>
          <w:numId w:val="17"/>
        </w:numPr>
        <w:rPr>
          <w:rFonts w:ascii="Arial" w:hAnsi="Arial" w:cs="Arial"/>
          <w:sz w:val="24"/>
          <w:szCs w:val="24"/>
        </w:rPr>
      </w:pPr>
      <w:r w:rsidRPr="00EE6F7F">
        <w:rPr>
          <w:rFonts w:ascii="Arial" w:hAnsi="Arial" w:cs="Arial"/>
          <w:sz w:val="24"/>
          <w:szCs w:val="24"/>
        </w:rPr>
        <w:t>The widely varying proportions of locally raised rates to overall funding  also re-enforces the need for a redistribution mechanism at set up.</w:t>
      </w:r>
    </w:p>
    <w:p w:rsidR="001546AD" w:rsidRDefault="001546AD">
      <w:pPr>
        <w:rPr>
          <w:rFonts w:ascii="Arial" w:hAnsi="Arial" w:cs="Arial"/>
          <w:b/>
          <w:sz w:val="24"/>
          <w:szCs w:val="24"/>
        </w:rPr>
      </w:pPr>
    </w:p>
    <w:p w:rsidR="00D829BA" w:rsidRPr="00EE6F7F" w:rsidRDefault="00E15AAD" w:rsidP="00EE6F7F">
      <w:pPr>
        <w:pStyle w:val="ListParagraph"/>
        <w:ind w:left="360"/>
        <w:rPr>
          <w:rFonts w:ascii="Arial" w:hAnsi="Arial" w:cs="Arial"/>
          <w:color w:val="943634" w:themeColor="accent2" w:themeShade="BF"/>
        </w:rPr>
      </w:pPr>
      <w:r w:rsidRPr="00EE6F7F">
        <w:rPr>
          <w:rFonts w:ascii="Arial" w:hAnsi="Arial" w:cs="Arial"/>
          <w:color w:val="943634" w:themeColor="accent2" w:themeShade="BF"/>
        </w:rPr>
        <w:t>B</w:t>
      </w:r>
      <w:r w:rsidR="00D829BA" w:rsidRPr="00EE6F7F">
        <w:rPr>
          <w:rFonts w:ascii="Arial" w:hAnsi="Arial" w:cs="Arial"/>
          <w:color w:val="943634" w:themeColor="accent2" w:themeShade="BF"/>
        </w:rPr>
        <w:t>usiness rates as a proportion of Core Spending Power</w:t>
      </w:r>
    </w:p>
    <w:p w:rsidR="00D829BA" w:rsidRPr="00EE6F7F" w:rsidRDefault="00D829BA" w:rsidP="00EE6F7F">
      <w:pPr>
        <w:pStyle w:val="ListParagraph"/>
        <w:ind w:left="360"/>
        <w:rPr>
          <w:rFonts w:ascii="Arial" w:hAnsi="Arial" w:cs="Arial"/>
          <w:color w:val="943634" w:themeColor="accent2" w:themeShade="BF"/>
        </w:rPr>
      </w:pPr>
      <w:r w:rsidRPr="00EE6F7F">
        <w:rPr>
          <w:rFonts w:ascii="Arial" w:hAnsi="Arial" w:cs="Arial"/>
          <w:color w:val="943634" w:themeColor="accent2" w:themeShade="BF"/>
        </w:rPr>
        <w:t>2016-17 English local authorities</w:t>
      </w:r>
      <w:r w:rsidR="009819EC" w:rsidRPr="00EE6F7F">
        <w:rPr>
          <w:rFonts w:ascii="Arial" w:hAnsi="Arial" w:cs="Arial"/>
          <w:color w:val="943634" w:themeColor="accent2" w:themeShade="BF"/>
        </w:rPr>
        <w:t xml:space="preserve"> </w:t>
      </w:r>
      <w:r w:rsidR="006C3071" w:rsidRPr="00EE6F7F">
        <w:rPr>
          <w:rFonts w:ascii="Arial" w:hAnsi="Arial" w:cs="Arial"/>
          <w:color w:val="943634" w:themeColor="accent2" w:themeShade="BF"/>
        </w:rPr>
        <w:t>(</w:t>
      </w:r>
      <w:r w:rsidRPr="00EE6F7F">
        <w:rPr>
          <w:rFonts w:ascii="Arial" w:hAnsi="Arial" w:cs="Arial"/>
          <w:color w:val="943634" w:themeColor="accent2" w:themeShade="BF"/>
        </w:rPr>
        <w:t>excluding fire</w:t>
      </w:r>
      <w:r w:rsidR="006C3071" w:rsidRPr="00EE6F7F">
        <w:rPr>
          <w:rFonts w:ascii="Arial" w:hAnsi="Arial" w:cs="Arial"/>
          <w:color w:val="943634" w:themeColor="accent2" w:themeShade="BF"/>
        </w:rPr>
        <w:t>)</w:t>
      </w:r>
      <w:r w:rsidR="00E15AAD" w:rsidRPr="00EE6F7F">
        <w:rPr>
          <w:rFonts w:ascii="Arial" w:hAnsi="Arial" w:cs="Arial"/>
          <w:color w:val="943634" w:themeColor="accent2" w:themeShade="BF"/>
        </w:rPr>
        <w:t xml:space="preserve"> – local share only</w:t>
      </w:r>
    </w:p>
    <w:p w:rsidR="000F31A5" w:rsidRPr="00EE6F7F" w:rsidRDefault="00D829BA" w:rsidP="00EE6F7F">
      <w:pPr>
        <w:pStyle w:val="ListParagraph"/>
        <w:ind w:left="360"/>
        <w:rPr>
          <w:rFonts w:ascii="Arial" w:hAnsi="Arial" w:cs="Arial"/>
          <w:b/>
          <w:sz w:val="24"/>
          <w:szCs w:val="24"/>
        </w:rPr>
      </w:pPr>
      <w:r>
        <w:rPr>
          <w:noProof/>
          <w:lang w:eastAsia="en-GB"/>
        </w:rPr>
        <w:drawing>
          <wp:inline distT="0" distB="0" distL="0" distR="0" wp14:anchorId="6D018793" wp14:editId="6EBB027E">
            <wp:extent cx="4572000" cy="31623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546AD" w:rsidRDefault="001546AD">
      <w:pPr>
        <w:rPr>
          <w:rFonts w:ascii="Arial" w:hAnsi="Arial" w:cs="Arial"/>
          <w:b/>
          <w:sz w:val="24"/>
          <w:szCs w:val="24"/>
        </w:rPr>
      </w:pPr>
    </w:p>
    <w:p w:rsidR="006437D1" w:rsidRPr="00EE6F7F" w:rsidRDefault="006437D1" w:rsidP="00185048">
      <w:pPr>
        <w:pStyle w:val="ListParagraph"/>
        <w:numPr>
          <w:ilvl w:val="1"/>
          <w:numId w:val="17"/>
        </w:numPr>
        <w:rPr>
          <w:rFonts w:ascii="Arial" w:hAnsi="Arial" w:cs="Arial"/>
          <w:sz w:val="24"/>
          <w:szCs w:val="24"/>
        </w:rPr>
      </w:pPr>
      <w:r w:rsidRPr="00EE6F7F">
        <w:rPr>
          <w:rFonts w:ascii="Arial" w:hAnsi="Arial" w:cs="Arial"/>
          <w:sz w:val="24"/>
          <w:szCs w:val="24"/>
        </w:rPr>
        <w:t>Without redistribution on a fair and open basis</w:t>
      </w:r>
      <w:r w:rsidR="008B7C19" w:rsidRPr="00EE6F7F">
        <w:rPr>
          <w:rFonts w:ascii="Arial" w:hAnsi="Arial" w:cs="Arial"/>
          <w:sz w:val="24"/>
          <w:szCs w:val="24"/>
        </w:rPr>
        <w:t xml:space="preserve"> the inequality between poor and wealthy authorities would grow.</w:t>
      </w:r>
    </w:p>
    <w:p w:rsidR="006437D1" w:rsidRDefault="006437D1">
      <w:pPr>
        <w:rPr>
          <w:rFonts w:ascii="Arial" w:hAnsi="Arial" w:cs="Arial"/>
          <w:sz w:val="24"/>
          <w:szCs w:val="24"/>
        </w:rPr>
      </w:pPr>
    </w:p>
    <w:p w:rsidR="006C3071" w:rsidRPr="00EE6F7F" w:rsidRDefault="001546AD" w:rsidP="00185048">
      <w:pPr>
        <w:pStyle w:val="ListParagraph"/>
        <w:numPr>
          <w:ilvl w:val="1"/>
          <w:numId w:val="17"/>
        </w:numPr>
        <w:rPr>
          <w:rFonts w:ascii="Arial" w:hAnsi="Arial" w:cs="Arial"/>
          <w:sz w:val="24"/>
          <w:szCs w:val="24"/>
        </w:rPr>
      </w:pPr>
      <w:r w:rsidRPr="00EE6F7F">
        <w:rPr>
          <w:rFonts w:ascii="Arial" w:hAnsi="Arial" w:cs="Arial"/>
          <w:sz w:val="24"/>
          <w:szCs w:val="24"/>
        </w:rPr>
        <w:t xml:space="preserve">This variation highlights a </w:t>
      </w:r>
      <w:r w:rsidR="00E15AAD" w:rsidRPr="00EE6F7F">
        <w:rPr>
          <w:rFonts w:ascii="Arial" w:hAnsi="Arial" w:cs="Arial"/>
          <w:sz w:val="24"/>
          <w:szCs w:val="24"/>
        </w:rPr>
        <w:t>further</w:t>
      </w:r>
      <w:r w:rsidRPr="00EE6F7F">
        <w:rPr>
          <w:rFonts w:ascii="Arial" w:hAnsi="Arial" w:cs="Arial"/>
          <w:sz w:val="24"/>
          <w:szCs w:val="24"/>
        </w:rPr>
        <w:t xml:space="preserve"> issue. It will be understood that proportionate growth in business rates in a large rate base authority</w:t>
      </w:r>
      <w:r w:rsidR="008B7C19" w:rsidRPr="00EE6F7F">
        <w:rPr>
          <w:rFonts w:ascii="Arial" w:hAnsi="Arial" w:cs="Arial"/>
          <w:sz w:val="24"/>
          <w:szCs w:val="24"/>
        </w:rPr>
        <w:t xml:space="preserve"> will earn that</w:t>
      </w:r>
      <w:r w:rsidR="00D50FCB" w:rsidRPr="00EE6F7F">
        <w:rPr>
          <w:rFonts w:ascii="Arial" w:hAnsi="Arial" w:cs="Arial"/>
          <w:sz w:val="24"/>
          <w:szCs w:val="24"/>
        </w:rPr>
        <w:t xml:space="preserve"> authority higher growth</w:t>
      </w:r>
      <w:r w:rsidRPr="00EE6F7F">
        <w:rPr>
          <w:rFonts w:ascii="Arial" w:hAnsi="Arial" w:cs="Arial"/>
          <w:sz w:val="24"/>
          <w:szCs w:val="24"/>
        </w:rPr>
        <w:t>, in terms of overall funding needs, than that of a small rate base authority.</w:t>
      </w:r>
    </w:p>
    <w:p w:rsidR="006C3071" w:rsidRDefault="006C3071">
      <w:pPr>
        <w:rPr>
          <w:rFonts w:ascii="Arial" w:hAnsi="Arial" w:cs="Arial"/>
          <w:sz w:val="24"/>
          <w:szCs w:val="24"/>
        </w:rPr>
      </w:pPr>
    </w:p>
    <w:p w:rsidR="001546AD" w:rsidRPr="00EE6F7F" w:rsidRDefault="00D50FCB" w:rsidP="00185048">
      <w:pPr>
        <w:pStyle w:val="ListParagraph"/>
        <w:numPr>
          <w:ilvl w:val="1"/>
          <w:numId w:val="17"/>
        </w:numPr>
        <w:rPr>
          <w:rFonts w:ascii="Arial" w:hAnsi="Arial" w:cs="Arial"/>
          <w:sz w:val="24"/>
          <w:szCs w:val="24"/>
        </w:rPr>
      </w:pPr>
      <w:r w:rsidRPr="00EE6F7F">
        <w:rPr>
          <w:rFonts w:ascii="Arial" w:hAnsi="Arial" w:cs="Arial"/>
          <w:sz w:val="24"/>
          <w:szCs w:val="24"/>
        </w:rPr>
        <w:t xml:space="preserve">As an extreme example, a  3% growth in business rates in Westminster earns  </w:t>
      </w:r>
      <w:r w:rsidR="00122DA6" w:rsidRPr="00EE6F7F">
        <w:rPr>
          <w:rFonts w:ascii="Arial" w:hAnsi="Arial" w:cs="Arial"/>
          <w:sz w:val="24"/>
          <w:szCs w:val="24"/>
        </w:rPr>
        <w:t>that authority an 8% growth in C</w:t>
      </w:r>
      <w:r w:rsidRPr="00EE6F7F">
        <w:rPr>
          <w:rFonts w:ascii="Arial" w:hAnsi="Arial" w:cs="Arial"/>
          <w:sz w:val="24"/>
          <w:szCs w:val="24"/>
        </w:rPr>
        <w:t xml:space="preserve">ore </w:t>
      </w:r>
      <w:r w:rsidR="008B77E1" w:rsidRPr="00EE6F7F">
        <w:rPr>
          <w:rFonts w:ascii="Arial" w:hAnsi="Arial" w:cs="Arial"/>
          <w:sz w:val="24"/>
          <w:szCs w:val="24"/>
        </w:rPr>
        <w:t>Spending Power</w:t>
      </w:r>
      <w:r w:rsidRPr="00EE6F7F">
        <w:rPr>
          <w:rFonts w:ascii="Arial" w:hAnsi="Arial" w:cs="Arial"/>
          <w:sz w:val="24"/>
          <w:szCs w:val="24"/>
        </w:rPr>
        <w:t xml:space="preserve"> whilst the same  3% growth in business rates in Knowsley earns that council a 0.4% growth in Core Spending Power.</w:t>
      </w:r>
    </w:p>
    <w:p w:rsidR="00D50FCB" w:rsidRDefault="00D50FCB">
      <w:pPr>
        <w:rPr>
          <w:rFonts w:ascii="Arial" w:hAnsi="Arial" w:cs="Arial"/>
          <w:sz w:val="24"/>
          <w:szCs w:val="24"/>
        </w:rPr>
      </w:pPr>
    </w:p>
    <w:p w:rsidR="008B7C19" w:rsidRPr="00EE6F7F" w:rsidRDefault="00D50FCB" w:rsidP="00185048">
      <w:pPr>
        <w:pStyle w:val="ListParagraph"/>
        <w:numPr>
          <w:ilvl w:val="1"/>
          <w:numId w:val="17"/>
        </w:numPr>
        <w:rPr>
          <w:rFonts w:ascii="Arial" w:hAnsi="Arial" w:cs="Arial"/>
          <w:sz w:val="24"/>
          <w:szCs w:val="24"/>
        </w:rPr>
      </w:pPr>
      <w:r w:rsidRPr="00EE6F7F">
        <w:rPr>
          <w:rFonts w:ascii="Arial" w:hAnsi="Arial" w:cs="Arial"/>
          <w:sz w:val="24"/>
          <w:szCs w:val="24"/>
        </w:rPr>
        <w:t>This issue was meant to be addressed in the current rate retention me</w:t>
      </w:r>
      <w:r w:rsidR="009819EC" w:rsidRPr="00EE6F7F">
        <w:rPr>
          <w:rFonts w:ascii="Arial" w:hAnsi="Arial" w:cs="Arial"/>
          <w:sz w:val="24"/>
          <w:szCs w:val="24"/>
        </w:rPr>
        <w:t>chanism by the Levy and Safety n</w:t>
      </w:r>
      <w:r w:rsidRPr="00EE6F7F">
        <w:rPr>
          <w:rFonts w:ascii="Arial" w:hAnsi="Arial" w:cs="Arial"/>
          <w:sz w:val="24"/>
          <w:szCs w:val="24"/>
        </w:rPr>
        <w:t xml:space="preserve">et mechanism. </w:t>
      </w:r>
    </w:p>
    <w:p w:rsidR="008B7C19" w:rsidRDefault="008B7C19">
      <w:pPr>
        <w:rPr>
          <w:rFonts w:ascii="Arial" w:hAnsi="Arial" w:cs="Arial"/>
          <w:sz w:val="24"/>
          <w:szCs w:val="24"/>
        </w:rPr>
      </w:pPr>
    </w:p>
    <w:p w:rsidR="006C3071" w:rsidRPr="00EE6F7F" w:rsidRDefault="00D50FCB" w:rsidP="00185048">
      <w:pPr>
        <w:pStyle w:val="ListParagraph"/>
        <w:numPr>
          <w:ilvl w:val="1"/>
          <w:numId w:val="17"/>
        </w:numPr>
        <w:rPr>
          <w:rFonts w:ascii="Arial" w:hAnsi="Arial" w:cs="Arial"/>
          <w:sz w:val="24"/>
          <w:szCs w:val="24"/>
        </w:rPr>
      </w:pPr>
      <w:r w:rsidRPr="00EE6F7F">
        <w:rPr>
          <w:rFonts w:ascii="Arial" w:hAnsi="Arial" w:cs="Arial"/>
          <w:sz w:val="24"/>
          <w:szCs w:val="24"/>
        </w:rPr>
        <w:t>The principles were that an authority would be supported by Safety net if its income (comprising retained rates and Top up/Tariff) fell below 92.5% of its baseline income</w:t>
      </w:r>
      <w:r w:rsidR="008B7C19" w:rsidRPr="00EE6F7F">
        <w:rPr>
          <w:rFonts w:ascii="Arial" w:hAnsi="Arial" w:cs="Arial"/>
          <w:sz w:val="24"/>
          <w:szCs w:val="24"/>
        </w:rPr>
        <w:t>,</w:t>
      </w:r>
      <w:r w:rsidRPr="00EE6F7F">
        <w:rPr>
          <w:rFonts w:ascii="Arial" w:hAnsi="Arial" w:cs="Arial"/>
          <w:sz w:val="24"/>
          <w:szCs w:val="24"/>
        </w:rPr>
        <w:t xml:space="preserve"> whilst authorities would pay a Levy where their </w:t>
      </w:r>
      <w:r w:rsidR="006437D1" w:rsidRPr="00EE6F7F">
        <w:rPr>
          <w:rFonts w:ascii="Arial" w:hAnsi="Arial" w:cs="Arial"/>
          <w:sz w:val="24"/>
          <w:szCs w:val="24"/>
        </w:rPr>
        <w:t xml:space="preserve">percentage </w:t>
      </w:r>
      <w:r w:rsidR="006C3071" w:rsidRPr="00EE6F7F">
        <w:rPr>
          <w:rFonts w:ascii="Arial" w:hAnsi="Arial" w:cs="Arial"/>
          <w:sz w:val="24"/>
          <w:szCs w:val="24"/>
        </w:rPr>
        <w:t xml:space="preserve">growth in income </w:t>
      </w:r>
      <w:r w:rsidR="006437D1" w:rsidRPr="00EE6F7F">
        <w:rPr>
          <w:rFonts w:ascii="Arial" w:hAnsi="Arial" w:cs="Arial"/>
          <w:sz w:val="24"/>
          <w:szCs w:val="24"/>
        </w:rPr>
        <w:t xml:space="preserve">was greater than their percentage growth in rates as a result of higher rate income. </w:t>
      </w:r>
    </w:p>
    <w:p w:rsidR="006C3071" w:rsidRDefault="006C3071">
      <w:pPr>
        <w:rPr>
          <w:rFonts w:ascii="Arial" w:hAnsi="Arial" w:cs="Arial"/>
          <w:sz w:val="24"/>
          <w:szCs w:val="24"/>
        </w:rPr>
      </w:pPr>
    </w:p>
    <w:p w:rsidR="00D50FCB" w:rsidRPr="00EE6F7F" w:rsidRDefault="006437D1" w:rsidP="00185048">
      <w:pPr>
        <w:pStyle w:val="ListParagraph"/>
        <w:numPr>
          <w:ilvl w:val="1"/>
          <w:numId w:val="17"/>
        </w:numPr>
        <w:rPr>
          <w:rFonts w:ascii="Arial" w:hAnsi="Arial" w:cs="Arial"/>
          <w:sz w:val="24"/>
          <w:szCs w:val="24"/>
        </w:rPr>
      </w:pPr>
      <w:r w:rsidRPr="00EE6F7F">
        <w:rPr>
          <w:rFonts w:ascii="Arial" w:hAnsi="Arial" w:cs="Arial"/>
          <w:sz w:val="24"/>
          <w:szCs w:val="24"/>
        </w:rPr>
        <w:t>The intention was that</w:t>
      </w:r>
      <w:r w:rsidR="006C3071" w:rsidRPr="00EE6F7F">
        <w:rPr>
          <w:rFonts w:ascii="Arial" w:hAnsi="Arial" w:cs="Arial"/>
          <w:sz w:val="24"/>
          <w:szCs w:val="24"/>
        </w:rPr>
        <w:t>,</w:t>
      </w:r>
      <w:r w:rsidRPr="00EE6F7F">
        <w:rPr>
          <w:rFonts w:ascii="Arial" w:hAnsi="Arial" w:cs="Arial"/>
          <w:sz w:val="24"/>
          <w:szCs w:val="24"/>
        </w:rPr>
        <w:t xml:space="preserve"> over time</w:t>
      </w:r>
      <w:r w:rsidR="006C3071" w:rsidRPr="00EE6F7F">
        <w:rPr>
          <w:rFonts w:ascii="Arial" w:hAnsi="Arial" w:cs="Arial"/>
          <w:sz w:val="24"/>
          <w:szCs w:val="24"/>
        </w:rPr>
        <w:t>,</w:t>
      </w:r>
      <w:r w:rsidRPr="00EE6F7F">
        <w:rPr>
          <w:rFonts w:ascii="Arial" w:hAnsi="Arial" w:cs="Arial"/>
          <w:sz w:val="24"/>
          <w:szCs w:val="24"/>
        </w:rPr>
        <w:t xml:space="preserve"> Levy and Safety Net would be self financing. Since the </w:t>
      </w:r>
      <w:r w:rsidR="008B7C19" w:rsidRPr="00EE6F7F">
        <w:rPr>
          <w:rFonts w:ascii="Arial" w:hAnsi="Arial" w:cs="Arial"/>
          <w:sz w:val="24"/>
          <w:szCs w:val="24"/>
        </w:rPr>
        <w:t>calculation of the two adjustments</w:t>
      </w:r>
      <w:r w:rsidRPr="00EE6F7F">
        <w:rPr>
          <w:rFonts w:ascii="Arial" w:hAnsi="Arial" w:cs="Arial"/>
          <w:sz w:val="24"/>
          <w:szCs w:val="24"/>
        </w:rPr>
        <w:t xml:space="preserve"> </w:t>
      </w:r>
      <w:r w:rsidR="008B7C19" w:rsidRPr="00EE6F7F">
        <w:rPr>
          <w:rFonts w:ascii="Arial" w:hAnsi="Arial" w:cs="Arial"/>
          <w:sz w:val="24"/>
          <w:szCs w:val="24"/>
        </w:rPr>
        <w:t>meant they would</w:t>
      </w:r>
      <w:r w:rsidRPr="00EE6F7F">
        <w:rPr>
          <w:rFonts w:ascii="Arial" w:hAnsi="Arial" w:cs="Arial"/>
          <w:sz w:val="24"/>
          <w:szCs w:val="24"/>
        </w:rPr>
        <w:t xml:space="preserve"> essentially </w:t>
      </w:r>
      <w:r w:rsidR="008B7C19" w:rsidRPr="00EE6F7F">
        <w:rPr>
          <w:rFonts w:ascii="Arial" w:hAnsi="Arial" w:cs="Arial"/>
          <w:sz w:val="24"/>
          <w:szCs w:val="24"/>
        </w:rPr>
        <w:t xml:space="preserve">be </w:t>
      </w:r>
      <w:r w:rsidRPr="00EE6F7F">
        <w:rPr>
          <w:rFonts w:ascii="Arial" w:hAnsi="Arial" w:cs="Arial"/>
          <w:sz w:val="24"/>
          <w:szCs w:val="24"/>
        </w:rPr>
        <w:t xml:space="preserve">paid to and financed by </w:t>
      </w:r>
      <w:r w:rsidRPr="00EE6F7F">
        <w:rPr>
          <w:rFonts w:ascii="Arial" w:hAnsi="Arial" w:cs="Arial"/>
          <w:sz w:val="24"/>
          <w:szCs w:val="24"/>
        </w:rPr>
        <w:lastRenderedPageBreak/>
        <w:t>high rate base authorities this was an important aspect of rate retention for poorer authorities</w:t>
      </w:r>
      <w:r w:rsidR="008B7C19" w:rsidRPr="00EE6F7F">
        <w:rPr>
          <w:rFonts w:ascii="Arial" w:hAnsi="Arial" w:cs="Arial"/>
          <w:sz w:val="24"/>
          <w:szCs w:val="24"/>
        </w:rPr>
        <w:t>,</w:t>
      </w:r>
      <w:r w:rsidRPr="00EE6F7F">
        <w:rPr>
          <w:rFonts w:ascii="Arial" w:hAnsi="Arial" w:cs="Arial"/>
          <w:sz w:val="24"/>
          <w:szCs w:val="24"/>
        </w:rPr>
        <w:t xml:space="preserve"> that should have left their settlements un-affected.</w:t>
      </w:r>
    </w:p>
    <w:p w:rsidR="006437D1" w:rsidRDefault="006437D1">
      <w:pPr>
        <w:rPr>
          <w:rFonts w:ascii="Arial" w:hAnsi="Arial" w:cs="Arial"/>
          <w:sz w:val="24"/>
          <w:szCs w:val="24"/>
        </w:rPr>
      </w:pPr>
    </w:p>
    <w:p w:rsidR="00FE4F10" w:rsidRPr="00EE6F7F" w:rsidRDefault="006437D1" w:rsidP="00185048">
      <w:pPr>
        <w:pStyle w:val="ListParagraph"/>
        <w:numPr>
          <w:ilvl w:val="1"/>
          <w:numId w:val="17"/>
        </w:numPr>
        <w:rPr>
          <w:rFonts w:ascii="Arial" w:hAnsi="Arial" w:cs="Arial"/>
          <w:sz w:val="24"/>
          <w:szCs w:val="24"/>
        </w:rPr>
      </w:pPr>
      <w:r w:rsidRPr="00EE6F7F">
        <w:rPr>
          <w:rFonts w:ascii="Arial" w:hAnsi="Arial" w:cs="Arial"/>
          <w:sz w:val="24"/>
          <w:szCs w:val="24"/>
        </w:rPr>
        <w:t>In practice this mechanism has failed</w:t>
      </w:r>
      <w:r w:rsidR="00122DA6" w:rsidRPr="00EE6F7F">
        <w:rPr>
          <w:rFonts w:ascii="Arial" w:hAnsi="Arial" w:cs="Arial"/>
          <w:sz w:val="24"/>
          <w:szCs w:val="24"/>
        </w:rPr>
        <w:t xml:space="preserve"> </w:t>
      </w:r>
      <w:r w:rsidRPr="00EE6F7F">
        <w:rPr>
          <w:rFonts w:ascii="Arial" w:hAnsi="Arial" w:cs="Arial"/>
          <w:sz w:val="24"/>
          <w:szCs w:val="24"/>
        </w:rPr>
        <w:t xml:space="preserve"> since Safety net demand has exceeded Levy</w:t>
      </w:r>
      <w:r w:rsidR="00122DA6" w:rsidRPr="00EE6F7F">
        <w:rPr>
          <w:rFonts w:ascii="Arial" w:hAnsi="Arial" w:cs="Arial"/>
          <w:sz w:val="24"/>
          <w:szCs w:val="24"/>
        </w:rPr>
        <w:t>,</w:t>
      </w:r>
      <w:r w:rsidRPr="00EE6F7F">
        <w:rPr>
          <w:rFonts w:ascii="Arial" w:hAnsi="Arial" w:cs="Arial"/>
          <w:sz w:val="24"/>
          <w:szCs w:val="24"/>
        </w:rPr>
        <w:t xml:space="preserve"> </w:t>
      </w:r>
      <w:r w:rsidR="00122DA6" w:rsidRPr="00EE6F7F">
        <w:rPr>
          <w:rFonts w:ascii="Arial" w:hAnsi="Arial" w:cs="Arial"/>
          <w:sz w:val="24"/>
          <w:szCs w:val="24"/>
        </w:rPr>
        <w:t>leaving all authorities to bear</w:t>
      </w:r>
      <w:r w:rsidRPr="00EE6F7F">
        <w:rPr>
          <w:rFonts w:ascii="Arial" w:hAnsi="Arial" w:cs="Arial"/>
          <w:sz w:val="24"/>
          <w:szCs w:val="24"/>
        </w:rPr>
        <w:t xml:space="preserve"> yet further reductions in RSG to shore up the Safety net mechanism.</w:t>
      </w:r>
    </w:p>
    <w:p w:rsidR="00FE4F10" w:rsidRDefault="00FE4F10">
      <w:pPr>
        <w:rPr>
          <w:rFonts w:ascii="Arial" w:hAnsi="Arial" w:cs="Arial"/>
          <w:sz w:val="24"/>
          <w:szCs w:val="24"/>
        </w:rPr>
      </w:pPr>
    </w:p>
    <w:p w:rsidR="006C3071" w:rsidRPr="00EE6F7F" w:rsidRDefault="006437D1" w:rsidP="00185048">
      <w:pPr>
        <w:pStyle w:val="ListParagraph"/>
        <w:numPr>
          <w:ilvl w:val="1"/>
          <w:numId w:val="17"/>
        </w:numPr>
        <w:rPr>
          <w:rFonts w:ascii="Arial" w:hAnsi="Arial" w:cs="Arial"/>
          <w:sz w:val="24"/>
          <w:szCs w:val="24"/>
        </w:rPr>
      </w:pPr>
      <w:r w:rsidRPr="00EE6F7F">
        <w:rPr>
          <w:rFonts w:ascii="Arial" w:hAnsi="Arial" w:cs="Arial"/>
          <w:sz w:val="24"/>
          <w:szCs w:val="24"/>
        </w:rPr>
        <w:t>DCLG have announced that they are minded to abandon the Levy mechanism b</w:t>
      </w:r>
      <w:r w:rsidR="00122DA6" w:rsidRPr="00EE6F7F">
        <w:rPr>
          <w:rFonts w:ascii="Arial" w:hAnsi="Arial" w:cs="Arial"/>
          <w:sz w:val="24"/>
          <w:szCs w:val="24"/>
        </w:rPr>
        <w:t>ut without any statement about S</w:t>
      </w:r>
      <w:r w:rsidRPr="00EE6F7F">
        <w:rPr>
          <w:rFonts w:ascii="Arial" w:hAnsi="Arial" w:cs="Arial"/>
          <w:sz w:val="24"/>
          <w:szCs w:val="24"/>
        </w:rPr>
        <w:t xml:space="preserve">afety net. </w:t>
      </w:r>
      <w:r w:rsidR="006C3071" w:rsidRPr="00EE6F7F">
        <w:rPr>
          <w:rFonts w:ascii="Arial" w:hAnsi="Arial" w:cs="Arial"/>
          <w:sz w:val="24"/>
          <w:szCs w:val="24"/>
        </w:rPr>
        <w:t>We invite the Committee to examine what mechanism the Department has in mind that will ensure the poorest authorities</w:t>
      </w:r>
      <w:r w:rsidR="00025029" w:rsidRPr="00EE6F7F">
        <w:rPr>
          <w:rFonts w:ascii="Arial" w:hAnsi="Arial" w:cs="Arial"/>
          <w:sz w:val="24"/>
          <w:szCs w:val="24"/>
        </w:rPr>
        <w:t xml:space="preserve"> are taken out of this process in the way that was originally proposed.</w:t>
      </w:r>
    </w:p>
    <w:p w:rsidR="006C3071" w:rsidRDefault="006C3071">
      <w:pPr>
        <w:rPr>
          <w:rFonts w:ascii="Arial" w:hAnsi="Arial" w:cs="Arial"/>
          <w:sz w:val="24"/>
          <w:szCs w:val="24"/>
        </w:rPr>
      </w:pPr>
    </w:p>
    <w:p w:rsidR="001546AD" w:rsidRPr="00EE6F7F" w:rsidRDefault="008B7C19" w:rsidP="00185048">
      <w:pPr>
        <w:pStyle w:val="ListParagraph"/>
        <w:numPr>
          <w:ilvl w:val="1"/>
          <w:numId w:val="17"/>
        </w:numPr>
        <w:rPr>
          <w:rFonts w:ascii="Arial" w:hAnsi="Arial" w:cs="Arial"/>
          <w:sz w:val="24"/>
          <w:szCs w:val="24"/>
        </w:rPr>
      </w:pPr>
      <w:r w:rsidRPr="00EE6F7F">
        <w:rPr>
          <w:rFonts w:ascii="Arial" w:hAnsi="Arial" w:cs="Arial"/>
          <w:sz w:val="24"/>
          <w:szCs w:val="24"/>
        </w:rPr>
        <w:t xml:space="preserve">The committee may </w:t>
      </w:r>
      <w:r w:rsidR="00025029" w:rsidRPr="00EE6F7F">
        <w:rPr>
          <w:rFonts w:ascii="Arial" w:hAnsi="Arial" w:cs="Arial"/>
          <w:sz w:val="24"/>
          <w:szCs w:val="24"/>
        </w:rPr>
        <w:t xml:space="preserve">also </w:t>
      </w:r>
      <w:r w:rsidRPr="00EE6F7F">
        <w:rPr>
          <w:rFonts w:ascii="Arial" w:hAnsi="Arial" w:cs="Arial"/>
          <w:sz w:val="24"/>
          <w:szCs w:val="24"/>
        </w:rPr>
        <w:t xml:space="preserve">wish to </w:t>
      </w:r>
      <w:r w:rsidR="00122DA6" w:rsidRPr="00EE6F7F">
        <w:rPr>
          <w:rFonts w:ascii="Arial" w:hAnsi="Arial" w:cs="Arial"/>
          <w:sz w:val="24"/>
          <w:szCs w:val="24"/>
        </w:rPr>
        <w:t>explore why one of the largest S</w:t>
      </w:r>
      <w:r w:rsidRPr="00EE6F7F">
        <w:rPr>
          <w:rFonts w:ascii="Arial" w:hAnsi="Arial" w:cs="Arial"/>
          <w:sz w:val="24"/>
          <w:szCs w:val="24"/>
        </w:rPr>
        <w:t>afet</w:t>
      </w:r>
      <w:r w:rsidR="00122DA6" w:rsidRPr="00EE6F7F">
        <w:rPr>
          <w:rFonts w:ascii="Arial" w:hAnsi="Arial" w:cs="Arial"/>
          <w:sz w:val="24"/>
          <w:szCs w:val="24"/>
        </w:rPr>
        <w:t>y net payments was made to the c</w:t>
      </w:r>
      <w:r w:rsidRPr="00EE6F7F">
        <w:rPr>
          <w:rFonts w:ascii="Arial" w:hAnsi="Arial" w:cs="Arial"/>
          <w:sz w:val="24"/>
          <w:szCs w:val="24"/>
        </w:rPr>
        <w:t>ountry’s largest and most buoyant rating authorities, the City of Westminster.</w:t>
      </w:r>
    </w:p>
    <w:p w:rsidR="00FE4F10" w:rsidRDefault="00FE4F10">
      <w:pPr>
        <w:rPr>
          <w:rFonts w:ascii="Arial" w:hAnsi="Arial" w:cs="Arial"/>
          <w:sz w:val="24"/>
          <w:szCs w:val="24"/>
        </w:rPr>
      </w:pPr>
    </w:p>
    <w:p w:rsidR="00FE4F10" w:rsidRPr="00EE6F7F" w:rsidRDefault="00FE4F10" w:rsidP="00AF01FE">
      <w:pPr>
        <w:pStyle w:val="ListParagraph"/>
        <w:numPr>
          <w:ilvl w:val="1"/>
          <w:numId w:val="17"/>
        </w:numPr>
        <w:ind w:left="993" w:hanging="633"/>
        <w:rPr>
          <w:rFonts w:ascii="Arial" w:hAnsi="Arial" w:cs="Arial"/>
          <w:sz w:val="24"/>
          <w:szCs w:val="24"/>
        </w:rPr>
      </w:pPr>
      <w:r w:rsidRPr="00EE6F7F">
        <w:rPr>
          <w:rFonts w:ascii="Arial" w:hAnsi="Arial" w:cs="Arial"/>
          <w:sz w:val="24"/>
          <w:szCs w:val="24"/>
        </w:rPr>
        <w:t>This may be an opportunity to adjust the amount of rate retention for relative tax base sizes with lower rate bases retaining more and higher rate bases retaining less of their overall tax base.</w:t>
      </w:r>
    </w:p>
    <w:p w:rsidR="006437D1" w:rsidRDefault="006437D1">
      <w:pPr>
        <w:rPr>
          <w:rFonts w:ascii="Arial" w:hAnsi="Arial" w:cs="Arial"/>
          <w:sz w:val="24"/>
          <w:szCs w:val="24"/>
        </w:rPr>
      </w:pPr>
    </w:p>
    <w:p w:rsidR="006437D1" w:rsidRPr="00EE6F7F" w:rsidRDefault="006437D1" w:rsidP="00AF01FE">
      <w:pPr>
        <w:pStyle w:val="ListParagraph"/>
        <w:numPr>
          <w:ilvl w:val="1"/>
          <w:numId w:val="17"/>
        </w:numPr>
        <w:ind w:left="993" w:hanging="633"/>
        <w:rPr>
          <w:rFonts w:ascii="Arial" w:hAnsi="Arial" w:cs="Arial"/>
          <w:b/>
          <w:sz w:val="24"/>
          <w:szCs w:val="24"/>
        </w:rPr>
      </w:pPr>
      <w:r w:rsidRPr="00EE6F7F">
        <w:rPr>
          <w:rFonts w:ascii="Arial" w:hAnsi="Arial" w:cs="Arial"/>
          <w:b/>
          <w:sz w:val="24"/>
          <w:szCs w:val="24"/>
        </w:rPr>
        <w:t>It is essential for the committee to ascertain what</w:t>
      </w:r>
      <w:r w:rsidR="008B7C19" w:rsidRPr="00EE6F7F">
        <w:rPr>
          <w:rFonts w:ascii="Arial" w:hAnsi="Arial" w:cs="Arial"/>
          <w:b/>
          <w:sz w:val="24"/>
          <w:szCs w:val="24"/>
        </w:rPr>
        <w:t xml:space="preserve"> the </w:t>
      </w:r>
      <w:r w:rsidRPr="00EE6F7F">
        <w:rPr>
          <w:rFonts w:ascii="Arial" w:hAnsi="Arial" w:cs="Arial"/>
          <w:b/>
          <w:sz w:val="24"/>
          <w:szCs w:val="24"/>
        </w:rPr>
        <w:t xml:space="preserve"> DCLGs pla</w:t>
      </w:r>
      <w:r w:rsidR="008B7C19" w:rsidRPr="00EE6F7F">
        <w:rPr>
          <w:rFonts w:ascii="Arial" w:hAnsi="Arial" w:cs="Arial"/>
          <w:b/>
          <w:sz w:val="24"/>
          <w:szCs w:val="24"/>
        </w:rPr>
        <w:t>n is for these potentially huge</w:t>
      </w:r>
      <w:r w:rsidRPr="00EE6F7F">
        <w:rPr>
          <w:rFonts w:ascii="Arial" w:hAnsi="Arial" w:cs="Arial"/>
          <w:b/>
          <w:sz w:val="24"/>
          <w:szCs w:val="24"/>
        </w:rPr>
        <w:t xml:space="preserve"> distortions in the system under 100% rate retention</w:t>
      </w:r>
      <w:r w:rsidR="008B7C19" w:rsidRPr="00EE6F7F">
        <w:rPr>
          <w:rFonts w:ascii="Arial" w:hAnsi="Arial" w:cs="Arial"/>
          <w:b/>
          <w:sz w:val="24"/>
          <w:szCs w:val="24"/>
        </w:rPr>
        <w:t>,</w:t>
      </w:r>
      <w:r w:rsidRPr="00EE6F7F">
        <w:rPr>
          <w:rFonts w:ascii="Arial" w:hAnsi="Arial" w:cs="Arial"/>
          <w:b/>
          <w:sz w:val="24"/>
          <w:szCs w:val="24"/>
        </w:rPr>
        <w:t xml:space="preserve"> to avoid an ever widening gap between low and high rate base authorities.</w:t>
      </w:r>
    </w:p>
    <w:p w:rsidR="001546AD" w:rsidRDefault="001546AD">
      <w:pPr>
        <w:rPr>
          <w:rFonts w:ascii="Arial" w:hAnsi="Arial" w:cs="Arial"/>
          <w:sz w:val="24"/>
          <w:szCs w:val="24"/>
        </w:rPr>
      </w:pPr>
    </w:p>
    <w:p w:rsidR="00E6401B" w:rsidRPr="00EE6F7F" w:rsidRDefault="00E6401B" w:rsidP="00EE6F7F">
      <w:pPr>
        <w:pStyle w:val="ListParagraph"/>
        <w:ind w:left="360"/>
        <w:rPr>
          <w:rFonts w:ascii="Arial" w:hAnsi="Arial" w:cs="Arial"/>
          <w:i/>
          <w:color w:val="943634" w:themeColor="accent2" w:themeShade="BF"/>
          <w:sz w:val="24"/>
          <w:szCs w:val="24"/>
        </w:rPr>
      </w:pPr>
      <w:r w:rsidRPr="00EE6F7F">
        <w:rPr>
          <w:rFonts w:ascii="Arial" w:hAnsi="Arial" w:cs="Arial"/>
          <w:i/>
          <w:color w:val="943634" w:themeColor="accent2" w:themeShade="BF"/>
          <w:sz w:val="24"/>
          <w:szCs w:val="24"/>
        </w:rPr>
        <w:t xml:space="preserve">Pressures created </w:t>
      </w:r>
      <w:r w:rsidR="00512224" w:rsidRPr="00EE6F7F">
        <w:rPr>
          <w:rFonts w:ascii="Arial" w:hAnsi="Arial" w:cs="Arial"/>
          <w:i/>
          <w:color w:val="943634" w:themeColor="accent2" w:themeShade="BF"/>
          <w:sz w:val="24"/>
          <w:szCs w:val="24"/>
        </w:rPr>
        <w:t xml:space="preserve">in collection funds </w:t>
      </w:r>
      <w:r w:rsidRPr="00EE6F7F">
        <w:rPr>
          <w:rFonts w:ascii="Arial" w:hAnsi="Arial" w:cs="Arial"/>
          <w:i/>
          <w:color w:val="943634" w:themeColor="accent2" w:themeShade="BF"/>
          <w:sz w:val="24"/>
          <w:szCs w:val="24"/>
        </w:rPr>
        <w:t>by fluctuating rate income</w:t>
      </w:r>
    </w:p>
    <w:p w:rsidR="001836D3" w:rsidRDefault="001836D3">
      <w:pPr>
        <w:rPr>
          <w:rFonts w:ascii="Arial" w:hAnsi="Arial" w:cs="Arial"/>
          <w:sz w:val="24"/>
          <w:szCs w:val="24"/>
        </w:rPr>
      </w:pPr>
    </w:p>
    <w:p w:rsidR="00025029" w:rsidRPr="00EE6F7F" w:rsidRDefault="001836D3" w:rsidP="00EE6F7F">
      <w:pPr>
        <w:pStyle w:val="ListParagraph"/>
        <w:numPr>
          <w:ilvl w:val="0"/>
          <w:numId w:val="17"/>
        </w:numPr>
        <w:rPr>
          <w:rFonts w:ascii="Arial" w:hAnsi="Arial" w:cs="Arial"/>
          <w:sz w:val="24"/>
          <w:szCs w:val="24"/>
        </w:rPr>
      </w:pPr>
      <w:r w:rsidRPr="00EE6F7F">
        <w:rPr>
          <w:rFonts w:ascii="Arial" w:hAnsi="Arial" w:cs="Arial"/>
          <w:sz w:val="24"/>
          <w:szCs w:val="24"/>
        </w:rPr>
        <w:t xml:space="preserve">In a manner similar to Council Tax, the business </w:t>
      </w:r>
      <w:r w:rsidR="00025029" w:rsidRPr="00EE6F7F">
        <w:rPr>
          <w:rFonts w:ascii="Arial" w:hAnsi="Arial" w:cs="Arial"/>
          <w:sz w:val="24"/>
          <w:szCs w:val="24"/>
        </w:rPr>
        <w:t>rate system operates through a Collection F</w:t>
      </w:r>
      <w:r w:rsidRPr="00EE6F7F">
        <w:rPr>
          <w:rFonts w:ascii="Arial" w:hAnsi="Arial" w:cs="Arial"/>
          <w:sz w:val="24"/>
          <w:szCs w:val="24"/>
        </w:rPr>
        <w:t xml:space="preserve">und. </w:t>
      </w:r>
      <w:r w:rsidR="00025029" w:rsidRPr="00EE6F7F">
        <w:rPr>
          <w:rFonts w:ascii="Arial" w:hAnsi="Arial" w:cs="Arial"/>
          <w:sz w:val="24"/>
          <w:szCs w:val="24"/>
        </w:rPr>
        <w:t>Briefly, a</w:t>
      </w:r>
      <w:r w:rsidRPr="00EE6F7F">
        <w:rPr>
          <w:rFonts w:ascii="Arial" w:hAnsi="Arial" w:cs="Arial"/>
          <w:sz w:val="24"/>
          <w:szCs w:val="24"/>
        </w:rPr>
        <w:t xml:space="preserve"> billing authority forecasts in January how much business rates it will collect in the following financial year, draws funds </w:t>
      </w:r>
      <w:r w:rsidR="00512224" w:rsidRPr="00EE6F7F">
        <w:rPr>
          <w:rFonts w:ascii="Arial" w:hAnsi="Arial" w:cs="Arial"/>
          <w:sz w:val="24"/>
          <w:szCs w:val="24"/>
        </w:rPr>
        <w:t xml:space="preserve">from the collection fund </w:t>
      </w:r>
      <w:r w:rsidRPr="00EE6F7F">
        <w:rPr>
          <w:rFonts w:ascii="Arial" w:hAnsi="Arial" w:cs="Arial"/>
          <w:sz w:val="24"/>
          <w:szCs w:val="24"/>
        </w:rPr>
        <w:t xml:space="preserve">into revenue based on that estimate during that following year </w:t>
      </w:r>
      <w:r w:rsidR="00025029" w:rsidRPr="00EE6F7F">
        <w:rPr>
          <w:rFonts w:ascii="Arial" w:hAnsi="Arial" w:cs="Arial"/>
          <w:sz w:val="24"/>
          <w:szCs w:val="24"/>
        </w:rPr>
        <w:t>and pays into the collection fund the amount of rates actually raised</w:t>
      </w:r>
      <w:r w:rsidR="00122DA6" w:rsidRPr="00EE6F7F">
        <w:rPr>
          <w:rFonts w:ascii="Arial" w:hAnsi="Arial" w:cs="Arial"/>
          <w:sz w:val="24"/>
          <w:szCs w:val="24"/>
        </w:rPr>
        <w:t xml:space="preserve"> in that year</w:t>
      </w:r>
      <w:r w:rsidR="00025029" w:rsidRPr="00EE6F7F">
        <w:rPr>
          <w:rFonts w:ascii="Arial" w:hAnsi="Arial" w:cs="Arial"/>
          <w:sz w:val="24"/>
          <w:szCs w:val="24"/>
        </w:rPr>
        <w:t xml:space="preserve">. </w:t>
      </w:r>
    </w:p>
    <w:p w:rsidR="00025029" w:rsidRDefault="00025029" w:rsidP="00185048">
      <w:pPr>
        <w:ind w:left="709" w:hanging="709"/>
        <w:rPr>
          <w:rFonts w:ascii="Arial" w:hAnsi="Arial" w:cs="Arial"/>
          <w:sz w:val="24"/>
          <w:szCs w:val="24"/>
        </w:rPr>
      </w:pPr>
    </w:p>
    <w:p w:rsidR="00E6401B" w:rsidRPr="00EE6F7F" w:rsidRDefault="00025029" w:rsidP="00185048">
      <w:pPr>
        <w:pStyle w:val="ListParagraph"/>
        <w:numPr>
          <w:ilvl w:val="1"/>
          <w:numId w:val="17"/>
        </w:numPr>
        <w:ind w:left="709" w:hanging="709"/>
        <w:rPr>
          <w:rFonts w:ascii="Arial" w:hAnsi="Arial" w:cs="Arial"/>
          <w:sz w:val="24"/>
          <w:szCs w:val="24"/>
        </w:rPr>
      </w:pPr>
      <w:r w:rsidRPr="00EE6F7F">
        <w:rPr>
          <w:rFonts w:ascii="Arial" w:hAnsi="Arial" w:cs="Arial"/>
          <w:sz w:val="24"/>
          <w:szCs w:val="24"/>
        </w:rPr>
        <w:t>O</w:t>
      </w:r>
      <w:r w:rsidR="001836D3" w:rsidRPr="00EE6F7F">
        <w:rPr>
          <w:rFonts w:ascii="Arial" w:hAnsi="Arial" w:cs="Arial"/>
          <w:sz w:val="24"/>
          <w:szCs w:val="24"/>
        </w:rPr>
        <w:t xml:space="preserve">n the anniversary of that estimate, </w:t>
      </w:r>
      <w:r w:rsidRPr="00EE6F7F">
        <w:rPr>
          <w:rFonts w:ascii="Arial" w:hAnsi="Arial" w:cs="Arial"/>
          <w:sz w:val="24"/>
          <w:szCs w:val="24"/>
        </w:rPr>
        <w:t xml:space="preserve">the authority </w:t>
      </w:r>
      <w:r w:rsidR="001836D3" w:rsidRPr="00EE6F7F">
        <w:rPr>
          <w:rFonts w:ascii="Arial" w:hAnsi="Arial" w:cs="Arial"/>
          <w:sz w:val="24"/>
          <w:szCs w:val="24"/>
        </w:rPr>
        <w:t xml:space="preserve">makes a fresh estimate for the year after that. In this second </w:t>
      </w:r>
      <w:r w:rsidRPr="00EE6F7F">
        <w:rPr>
          <w:rFonts w:ascii="Arial" w:hAnsi="Arial" w:cs="Arial"/>
          <w:sz w:val="24"/>
          <w:szCs w:val="24"/>
        </w:rPr>
        <w:t xml:space="preserve">year </w:t>
      </w:r>
      <w:r w:rsidR="001836D3" w:rsidRPr="00EE6F7F">
        <w:rPr>
          <w:rFonts w:ascii="Arial" w:hAnsi="Arial" w:cs="Arial"/>
          <w:sz w:val="24"/>
          <w:szCs w:val="24"/>
        </w:rPr>
        <w:t>estimate the authority incorporates any over o</w:t>
      </w:r>
      <w:r w:rsidRPr="00EE6F7F">
        <w:rPr>
          <w:rFonts w:ascii="Arial" w:hAnsi="Arial" w:cs="Arial"/>
          <w:sz w:val="24"/>
          <w:szCs w:val="24"/>
        </w:rPr>
        <w:t>r under estimate in the first year forecast</w:t>
      </w:r>
      <w:r w:rsidR="00512224" w:rsidRPr="00EE6F7F">
        <w:rPr>
          <w:rFonts w:ascii="Arial" w:hAnsi="Arial" w:cs="Arial"/>
          <w:sz w:val="24"/>
          <w:szCs w:val="24"/>
        </w:rPr>
        <w:t>. In this way, under or ove</w:t>
      </w:r>
      <w:r w:rsidR="00122DA6" w:rsidRPr="00EE6F7F">
        <w:rPr>
          <w:rFonts w:ascii="Arial" w:hAnsi="Arial" w:cs="Arial"/>
          <w:sz w:val="24"/>
          <w:szCs w:val="24"/>
        </w:rPr>
        <w:t xml:space="preserve">r estimates </w:t>
      </w:r>
      <w:r w:rsidR="00A41B0C" w:rsidRPr="00EE6F7F">
        <w:rPr>
          <w:rFonts w:ascii="Arial" w:hAnsi="Arial" w:cs="Arial"/>
          <w:sz w:val="24"/>
          <w:szCs w:val="24"/>
        </w:rPr>
        <w:t xml:space="preserve">of business rates </w:t>
      </w:r>
      <w:r w:rsidR="00122DA6" w:rsidRPr="00EE6F7F">
        <w:rPr>
          <w:rFonts w:ascii="Arial" w:hAnsi="Arial" w:cs="Arial"/>
          <w:sz w:val="24"/>
          <w:szCs w:val="24"/>
        </w:rPr>
        <w:t>each year are rolled</w:t>
      </w:r>
      <w:r w:rsidR="00512224" w:rsidRPr="00EE6F7F">
        <w:rPr>
          <w:rFonts w:ascii="Arial" w:hAnsi="Arial" w:cs="Arial"/>
          <w:sz w:val="24"/>
          <w:szCs w:val="24"/>
        </w:rPr>
        <w:t xml:space="preserve"> into the following year</w:t>
      </w:r>
    </w:p>
    <w:p w:rsidR="00025029" w:rsidRDefault="00025029" w:rsidP="00185048">
      <w:pPr>
        <w:ind w:left="709" w:hanging="709"/>
        <w:rPr>
          <w:rFonts w:ascii="Arial" w:hAnsi="Arial" w:cs="Arial"/>
          <w:sz w:val="24"/>
          <w:szCs w:val="24"/>
        </w:rPr>
      </w:pPr>
    </w:p>
    <w:p w:rsidR="001836D3" w:rsidRPr="00EE6F7F" w:rsidRDefault="001836D3" w:rsidP="00185048">
      <w:pPr>
        <w:pStyle w:val="ListParagraph"/>
        <w:numPr>
          <w:ilvl w:val="1"/>
          <w:numId w:val="17"/>
        </w:numPr>
        <w:ind w:left="709" w:hanging="709"/>
        <w:rPr>
          <w:rFonts w:ascii="Arial" w:hAnsi="Arial" w:cs="Arial"/>
          <w:sz w:val="24"/>
          <w:szCs w:val="24"/>
        </w:rPr>
      </w:pPr>
      <w:r w:rsidRPr="00EE6F7F">
        <w:rPr>
          <w:rFonts w:ascii="Arial" w:hAnsi="Arial" w:cs="Arial"/>
          <w:sz w:val="24"/>
          <w:szCs w:val="24"/>
        </w:rPr>
        <w:t xml:space="preserve">The </w:t>
      </w:r>
      <w:r w:rsidR="00122DA6" w:rsidRPr="00EE6F7F">
        <w:rPr>
          <w:rFonts w:ascii="Arial" w:hAnsi="Arial" w:cs="Arial"/>
          <w:sz w:val="24"/>
          <w:szCs w:val="24"/>
        </w:rPr>
        <w:t xml:space="preserve">outcome of the estimates therefore </w:t>
      </w:r>
      <w:r w:rsidRPr="00EE6F7F">
        <w:rPr>
          <w:rFonts w:ascii="Arial" w:hAnsi="Arial" w:cs="Arial"/>
          <w:sz w:val="24"/>
          <w:szCs w:val="24"/>
        </w:rPr>
        <w:t xml:space="preserve">directly </w:t>
      </w:r>
      <w:r w:rsidR="00122DA6" w:rsidRPr="00EE6F7F">
        <w:rPr>
          <w:rFonts w:ascii="Arial" w:hAnsi="Arial" w:cs="Arial"/>
          <w:sz w:val="24"/>
          <w:szCs w:val="24"/>
        </w:rPr>
        <w:t xml:space="preserve">affect </w:t>
      </w:r>
      <w:r w:rsidRPr="00EE6F7F">
        <w:rPr>
          <w:rFonts w:ascii="Arial" w:hAnsi="Arial" w:cs="Arial"/>
          <w:sz w:val="24"/>
          <w:szCs w:val="24"/>
        </w:rPr>
        <w:t>the revenue income available to an authority in the year to come. We understand it may be possible that future revenue issues may be accruing in collection fund balances, both of over optimistic and over pessimistic future rate incomes, largely traceable to assumptions around appeals</w:t>
      </w:r>
      <w:r w:rsidR="00512224" w:rsidRPr="00EE6F7F">
        <w:rPr>
          <w:rFonts w:ascii="Arial" w:hAnsi="Arial" w:cs="Arial"/>
          <w:sz w:val="24"/>
          <w:szCs w:val="24"/>
        </w:rPr>
        <w:t>.</w:t>
      </w:r>
    </w:p>
    <w:p w:rsidR="00A41B0C" w:rsidRDefault="00A41B0C" w:rsidP="00185048">
      <w:pPr>
        <w:ind w:left="709" w:hanging="709"/>
        <w:rPr>
          <w:rFonts w:ascii="Arial" w:hAnsi="Arial" w:cs="Arial"/>
          <w:sz w:val="24"/>
          <w:szCs w:val="24"/>
        </w:rPr>
      </w:pPr>
    </w:p>
    <w:p w:rsidR="00A41B0C" w:rsidRPr="00EE6F7F" w:rsidRDefault="00A41B0C" w:rsidP="00185048">
      <w:pPr>
        <w:pStyle w:val="ListParagraph"/>
        <w:numPr>
          <w:ilvl w:val="1"/>
          <w:numId w:val="17"/>
        </w:numPr>
        <w:ind w:left="709" w:hanging="709"/>
        <w:rPr>
          <w:rFonts w:ascii="Arial" w:hAnsi="Arial" w:cs="Arial"/>
          <w:sz w:val="24"/>
          <w:szCs w:val="24"/>
        </w:rPr>
      </w:pPr>
      <w:r w:rsidRPr="00EE6F7F">
        <w:rPr>
          <w:rFonts w:ascii="Arial" w:hAnsi="Arial" w:cs="Arial"/>
          <w:sz w:val="24"/>
          <w:szCs w:val="24"/>
        </w:rPr>
        <w:t>Business rate incomes are much less stable and predictable than Council Tax and the forecasts are accounting estimates bringing judgement and opinions into play. The table shows how forecasts and outurns have varied in the last two years.</w:t>
      </w:r>
    </w:p>
    <w:p w:rsidR="00A41B0C" w:rsidRDefault="00A41B0C" w:rsidP="00185048">
      <w:pPr>
        <w:ind w:left="709" w:hanging="709"/>
        <w:rPr>
          <w:rFonts w:ascii="Arial" w:hAnsi="Arial" w:cs="Arial"/>
          <w:sz w:val="24"/>
          <w:szCs w:val="24"/>
        </w:rPr>
      </w:pPr>
    </w:p>
    <w:p w:rsidR="006775F4" w:rsidRPr="00EE6F7F" w:rsidRDefault="00122DA6" w:rsidP="00EE6F7F">
      <w:pPr>
        <w:pStyle w:val="ListParagraph"/>
        <w:ind w:left="502"/>
        <w:rPr>
          <w:rFonts w:ascii="Arial" w:hAnsi="Arial" w:cs="Arial"/>
          <w:sz w:val="24"/>
          <w:szCs w:val="24"/>
        </w:rPr>
      </w:pPr>
      <w:r w:rsidRPr="00122DA6">
        <w:rPr>
          <w:noProof/>
          <w:lang w:eastAsia="en-GB"/>
        </w:rPr>
        <w:lastRenderedPageBreak/>
        <w:drawing>
          <wp:inline distT="0" distB="0" distL="0" distR="0" wp14:anchorId="7B0A34E6" wp14:editId="519C65CC">
            <wp:extent cx="3263900" cy="157480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3900" cy="1574800"/>
                    </a:xfrm>
                    <a:prstGeom prst="rect">
                      <a:avLst/>
                    </a:prstGeom>
                    <a:noFill/>
                    <a:ln>
                      <a:noFill/>
                    </a:ln>
                  </pic:spPr>
                </pic:pic>
              </a:graphicData>
            </a:graphic>
          </wp:inline>
        </w:drawing>
      </w:r>
    </w:p>
    <w:p w:rsidR="006775F4" w:rsidRPr="00EE6F7F" w:rsidRDefault="006775F4" w:rsidP="00EE6F7F">
      <w:pPr>
        <w:pStyle w:val="ListParagraph"/>
        <w:ind w:left="502"/>
        <w:rPr>
          <w:rFonts w:ascii="Arial" w:hAnsi="Arial" w:cs="Arial"/>
          <w:i/>
          <w:sz w:val="20"/>
          <w:szCs w:val="20"/>
        </w:rPr>
      </w:pPr>
      <w:r w:rsidRPr="00EE6F7F">
        <w:rPr>
          <w:rFonts w:ascii="Arial" w:hAnsi="Arial" w:cs="Arial"/>
          <w:i/>
          <w:sz w:val="20"/>
          <w:szCs w:val="20"/>
        </w:rPr>
        <w:t xml:space="preserve">Figures include the revenue impact of collection fund deficits and </w:t>
      </w:r>
      <w:r w:rsidR="00A41B0C" w:rsidRPr="00EE6F7F">
        <w:rPr>
          <w:rFonts w:ascii="Arial" w:hAnsi="Arial" w:cs="Arial"/>
          <w:i/>
          <w:sz w:val="20"/>
          <w:szCs w:val="20"/>
        </w:rPr>
        <w:t>of grant payments related to rate reliefs.</w:t>
      </w:r>
    </w:p>
    <w:p w:rsidR="00512224" w:rsidRDefault="00512224" w:rsidP="00EE6F7F">
      <w:pPr>
        <w:tabs>
          <w:tab w:val="left" w:pos="6020"/>
        </w:tabs>
        <w:ind w:firstLine="6015"/>
        <w:rPr>
          <w:rFonts w:ascii="Arial" w:hAnsi="Arial" w:cs="Arial"/>
          <w:sz w:val="24"/>
          <w:szCs w:val="24"/>
        </w:rPr>
      </w:pPr>
    </w:p>
    <w:p w:rsidR="00E6401B" w:rsidRPr="00EE6F7F" w:rsidRDefault="006775F4" w:rsidP="00185048">
      <w:pPr>
        <w:pStyle w:val="ListParagraph"/>
        <w:numPr>
          <w:ilvl w:val="1"/>
          <w:numId w:val="17"/>
        </w:numPr>
        <w:tabs>
          <w:tab w:val="left" w:pos="993"/>
        </w:tabs>
        <w:ind w:left="709" w:hanging="349"/>
        <w:rPr>
          <w:rFonts w:ascii="Arial" w:hAnsi="Arial" w:cs="Arial"/>
          <w:b/>
          <w:sz w:val="24"/>
          <w:szCs w:val="24"/>
        </w:rPr>
      </w:pPr>
      <w:r w:rsidRPr="00EE6F7F">
        <w:rPr>
          <w:rFonts w:ascii="Arial" w:hAnsi="Arial" w:cs="Arial"/>
          <w:b/>
          <w:sz w:val="24"/>
          <w:szCs w:val="24"/>
        </w:rPr>
        <w:t>The</w:t>
      </w:r>
      <w:r w:rsidR="00512224" w:rsidRPr="00EE6F7F">
        <w:rPr>
          <w:rFonts w:ascii="Arial" w:hAnsi="Arial" w:cs="Arial"/>
          <w:b/>
          <w:sz w:val="24"/>
          <w:szCs w:val="24"/>
        </w:rPr>
        <w:t xml:space="preserve"> issues around collection fund balances and possibly allowing extended adjustment periods in the collection fund need considering in the move to 100% rate retention.</w:t>
      </w:r>
    </w:p>
    <w:p w:rsidR="00E6401B" w:rsidRDefault="00E6401B">
      <w:pPr>
        <w:rPr>
          <w:rFonts w:ascii="Arial" w:hAnsi="Arial" w:cs="Arial"/>
          <w:b/>
          <w:i/>
          <w:color w:val="943634" w:themeColor="accent2" w:themeShade="BF"/>
          <w:sz w:val="24"/>
          <w:szCs w:val="24"/>
        </w:rPr>
      </w:pPr>
    </w:p>
    <w:p w:rsidR="00512224" w:rsidRPr="00EE6F7F" w:rsidRDefault="00512224" w:rsidP="00EE6F7F">
      <w:pPr>
        <w:pStyle w:val="ListParagraph"/>
        <w:ind w:left="502"/>
        <w:rPr>
          <w:rFonts w:ascii="Arial" w:hAnsi="Arial" w:cs="Arial"/>
          <w:i/>
          <w:color w:val="943634" w:themeColor="accent2" w:themeShade="BF"/>
          <w:sz w:val="24"/>
          <w:szCs w:val="24"/>
        </w:rPr>
      </w:pPr>
      <w:r w:rsidRPr="00EE6F7F">
        <w:rPr>
          <w:rFonts w:ascii="Arial" w:hAnsi="Arial" w:cs="Arial"/>
          <w:i/>
          <w:color w:val="943634" w:themeColor="accent2" w:themeShade="BF"/>
          <w:sz w:val="24"/>
          <w:szCs w:val="24"/>
        </w:rPr>
        <w:t>Revaluations and appeals</w:t>
      </w:r>
    </w:p>
    <w:p w:rsidR="00E6401B" w:rsidRDefault="00E6401B">
      <w:pPr>
        <w:rPr>
          <w:rFonts w:ascii="Arial" w:hAnsi="Arial" w:cs="Arial"/>
          <w:b/>
          <w:color w:val="943634" w:themeColor="accent2" w:themeShade="BF"/>
          <w:sz w:val="24"/>
          <w:szCs w:val="24"/>
        </w:rPr>
      </w:pPr>
    </w:p>
    <w:p w:rsidR="00512224" w:rsidRPr="00EE6F7F" w:rsidRDefault="00512224" w:rsidP="00EE6F7F">
      <w:pPr>
        <w:pStyle w:val="ListParagraph"/>
        <w:numPr>
          <w:ilvl w:val="0"/>
          <w:numId w:val="17"/>
        </w:numPr>
        <w:rPr>
          <w:rFonts w:ascii="Arial" w:hAnsi="Arial" w:cs="Arial"/>
          <w:sz w:val="24"/>
          <w:szCs w:val="24"/>
        </w:rPr>
      </w:pPr>
      <w:r w:rsidRPr="00EE6F7F">
        <w:rPr>
          <w:rFonts w:ascii="Arial" w:hAnsi="Arial" w:cs="Arial"/>
          <w:sz w:val="24"/>
          <w:szCs w:val="24"/>
        </w:rPr>
        <w:t xml:space="preserve">The committee will hear from many sources, including DCLG about the problems encountered with valuations and appeals in relation to business rates. The committee will no doubt be aware of the proposed “Check Challenge Appeals” method of dealing with appeals which is </w:t>
      </w:r>
      <w:r w:rsidR="00122DA6" w:rsidRPr="00EE6F7F">
        <w:rPr>
          <w:rFonts w:ascii="Arial" w:hAnsi="Arial" w:cs="Arial"/>
          <w:sz w:val="24"/>
          <w:szCs w:val="24"/>
        </w:rPr>
        <w:t xml:space="preserve">proposed </w:t>
      </w:r>
      <w:r w:rsidRPr="00EE6F7F">
        <w:rPr>
          <w:rFonts w:ascii="Arial" w:hAnsi="Arial" w:cs="Arial"/>
          <w:sz w:val="24"/>
          <w:szCs w:val="24"/>
        </w:rPr>
        <w:t>to be introduced in 2017-18.</w:t>
      </w:r>
    </w:p>
    <w:p w:rsidR="00512224" w:rsidRDefault="00512224">
      <w:pPr>
        <w:rPr>
          <w:rFonts w:ascii="Arial" w:hAnsi="Arial" w:cs="Arial"/>
          <w:sz w:val="24"/>
          <w:szCs w:val="24"/>
        </w:rPr>
      </w:pPr>
    </w:p>
    <w:p w:rsidR="00512224" w:rsidRPr="00EE6F7F" w:rsidRDefault="00512224" w:rsidP="00185048">
      <w:pPr>
        <w:pStyle w:val="ListParagraph"/>
        <w:numPr>
          <w:ilvl w:val="1"/>
          <w:numId w:val="17"/>
        </w:numPr>
        <w:ind w:left="993" w:hanging="633"/>
        <w:rPr>
          <w:rFonts w:ascii="Arial" w:hAnsi="Arial" w:cs="Arial"/>
          <w:sz w:val="24"/>
          <w:szCs w:val="24"/>
        </w:rPr>
      </w:pPr>
      <w:r w:rsidRPr="00EE6F7F">
        <w:rPr>
          <w:rFonts w:ascii="Arial" w:hAnsi="Arial" w:cs="Arial"/>
          <w:sz w:val="24"/>
          <w:szCs w:val="24"/>
        </w:rPr>
        <w:t>There are also provisions contained in the Enterprise Bill that will permit (but not compel) the Valuation Office Agency to share information with local authorities.</w:t>
      </w:r>
    </w:p>
    <w:p w:rsidR="00512224" w:rsidRDefault="00512224" w:rsidP="00185048">
      <w:pPr>
        <w:ind w:left="993" w:hanging="633"/>
        <w:rPr>
          <w:rFonts w:ascii="Arial" w:hAnsi="Arial" w:cs="Arial"/>
          <w:sz w:val="24"/>
          <w:szCs w:val="24"/>
        </w:rPr>
      </w:pPr>
    </w:p>
    <w:p w:rsidR="00512224" w:rsidRPr="00EE6F7F" w:rsidRDefault="00512224" w:rsidP="00185048">
      <w:pPr>
        <w:pStyle w:val="ListParagraph"/>
        <w:numPr>
          <w:ilvl w:val="1"/>
          <w:numId w:val="17"/>
        </w:numPr>
        <w:ind w:left="993" w:hanging="633"/>
        <w:rPr>
          <w:rFonts w:ascii="Arial" w:hAnsi="Arial" w:cs="Arial"/>
          <w:sz w:val="24"/>
          <w:szCs w:val="24"/>
        </w:rPr>
      </w:pPr>
      <w:r w:rsidRPr="00EE6F7F">
        <w:rPr>
          <w:rFonts w:ascii="Arial" w:hAnsi="Arial" w:cs="Arial"/>
          <w:sz w:val="24"/>
          <w:szCs w:val="24"/>
        </w:rPr>
        <w:t xml:space="preserve">Our authorities generally feel </w:t>
      </w:r>
      <w:r w:rsidR="006775F4" w:rsidRPr="00EE6F7F">
        <w:rPr>
          <w:rFonts w:ascii="Arial" w:hAnsi="Arial" w:cs="Arial"/>
          <w:sz w:val="24"/>
          <w:szCs w:val="24"/>
        </w:rPr>
        <w:t xml:space="preserve">they are </w:t>
      </w:r>
      <w:r w:rsidRPr="00EE6F7F">
        <w:rPr>
          <w:rFonts w:ascii="Arial" w:hAnsi="Arial" w:cs="Arial"/>
          <w:sz w:val="24"/>
          <w:szCs w:val="24"/>
        </w:rPr>
        <w:t xml:space="preserve">hostage to a principle </w:t>
      </w:r>
      <w:r w:rsidR="000B50CB" w:rsidRPr="00EE6F7F">
        <w:rPr>
          <w:rFonts w:ascii="Arial" w:hAnsi="Arial" w:cs="Arial"/>
          <w:sz w:val="24"/>
          <w:szCs w:val="24"/>
        </w:rPr>
        <w:t xml:space="preserve">in respect of this </w:t>
      </w:r>
      <w:r w:rsidR="00241421" w:rsidRPr="00EE6F7F">
        <w:rPr>
          <w:rFonts w:ascii="Arial" w:hAnsi="Arial" w:cs="Arial"/>
          <w:sz w:val="24"/>
          <w:szCs w:val="24"/>
        </w:rPr>
        <w:t xml:space="preserve">accountability </w:t>
      </w:r>
      <w:r w:rsidR="000B50CB" w:rsidRPr="00EE6F7F">
        <w:rPr>
          <w:rFonts w:ascii="Arial" w:hAnsi="Arial" w:cs="Arial"/>
          <w:sz w:val="24"/>
          <w:szCs w:val="24"/>
        </w:rPr>
        <w:t xml:space="preserve">for valuation changes and appeals </w:t>
      </w:r>
      <w:r w:rsidR="00241421" w:rsidRPr="00EE6F7F">
        <w:rPr>
          <w:rFonts w:ascii="Arial" w:hAnsi="Arial" w:cs="Arial"/>
          <w:sz w:val="24"/>
          <w:szCs w:val="24"/>
        </w:rPr>
        <w:t>which was</w:t>
      </w:r>
      <w:r w:rsidR="00025029" w:rsidRPr="00EE6F7F">
        <w:rPr>
          <w:rFonts w:ascii="Arial" w:hAnsi="Arial" w:cs="Arial"/>
          <w:sz w:val="24"/>
          <w:szCs w:val="24"/>
        </w:rPr>
        <w:t>,</w:t>
      </w:r>
      <w:r w:rsidR="00241421" w:rsidRPr="00EE6F7F">
        <w:rPr>
          <w:rFonts w:ascii="Arial" w:hAnsi="Arial" w:cs="Arial"/>
          <w:sz w:val="24"/>
          <w:szCs w:val="24"/>
        </w:rPr>
        <w:t xml:space="preserve"> and is as yet</w:t>
      </w:r>
      <w:r w:rsidR="00025029" w:rsidRPr="00EE6F7F">
        <w:rPr>
          <w:rFonts w:ascii="Arial" w:hAnsi="Arial" w:cs="Arial"/>
          <w:sz w:val="24"/>
          <w:szCs w:val="24"/>
        </w:rPr>
        <w:t>,</w:t>
      </w:r>
      <w:r w:rsidR="00241421" w:rsidRPr="00EE6F7F">
        <w:rPr>
          <w:rFonts w:ascii="Arial" w:hAnsi="Arial" w:cs="Arial"/>
          <w:sz w:val="24"/>
          <w:szCs w:val="24"/>
        </w:rPr>
        <w:t xml:space="preserve"> unworkable in practice.</w:t>
      </w:r>
    </w:p>
    <w:p w:rsidR="00241421" w:rsidRDefault="00241421" w:rsidP="00185048">
      <w:pPr>
        <w:ind w:left="993" w:hanging="633"/>
        <w:rPr>
          <w:rFonts w:ascii="Arial" w:hAnsi="Arial" w:cs="Arial"/>
          <w:sz w:val="24"/>
          <w:szCs w:val="24"/>
        </w:rPr>
      </w:pPr>
    </w:p>
    <w:p w:rsidR="00AE0CC1" w:rsidRPr="00EE6F7F" w:rsidRDefault="00241421" w:rsidP="00185048">
      <w:pPr>
        <w:pStyle w:val="ListParagraph"/>
        <w:numPr>
          <w:ilvl w:val="1"/>
          <w:numId w:val="17"/>
        </w:numPr>
        <w:ind w:left="993" w:hanging="633"/>
        <w:rPr>
          <w:rFonts w:ascii="Arial" w:hAnsi="Arial" w:cs="Arial"/>
          <w:sz w:val="24"/>
          <w:szCs w:val="24"/>
        </w:rPr>
      </w:pPr>
      <w:r w:rsidRPr="00EE6F7F">
        <w:rPr>
          <w:rFonts w:ascii="Arial" w:hAnsi="Arial" w:cs="Arial"/>
          <w:sz w:val="24"/>
          <w:szCs w:val="24"/>
        </w:rPr>
        <w:t>We ask</w:t>
      </w:r>
      <w:r w:rsidR="00122DA6" w:rsidRPr="00EE6F7F">
        <w:rPr>
          <w:rFonts w:ascii="Arial" w:hAnsi="Arial" w:cs="Arial"/>
          <w:sz w:val="24"/>
          <w:szCs w:val="24"/>
        </w:rPr>
        <w:t>,</w:t>
      </w:r>
      <w:r w:rsidRPr="00EE6F7F">
        <w:rPr>
          <w:rFonts w:ascii="Arial" w:hAnsi="Arial" w:cs="Arial"/>
          <w:sz w:val="24"/>
          <w:szCs w:val="24"/>
        </w:rPr>
        <w:t xml:space="preserve"> what other agent of government stands to be the sole target of individual taxpayer refunds which can go back over ten years and for which they have had  no responsibility in as</w:t>
      </w:r>
      <w:r w:rsidR="00025029" w:rsidRPr="00EE6F7F">
        <w:rPr>
          <w:rFonts w:ascii="Arial" w:hAnsi="Arial" w:cs="Arial"/>
          <w:sz w:val="24"/>
          <w:szCs w:val="24"/>
        </w:rPr>
        <w:t>sessment and often no knowledge</w:t>
      </w:r>
      <w:r w:rsidR="00122DA6" w:rsidRPr="00EE6F7F">
        <w:rPr>
          <w:rFonts w:ascii="Arial" w:hAnsi="Arial" w:cs="Arial"/>
          <w:sz w:val="24"/>
          <w:szCs w:val="24"/>
        </w:rPr>
        <w:t xml:space="preserve"> until long after the tax has been accounted for in budgets</w:t>
      </w:r>
      <w:r w:rsidR="00025029" w:rsidRPr="00EE6F7F">
        <w:rPr>
          <w:rFonts w:ascii="Arial" w:hAnsi="Arial" w:cs="Arial"/>
          <w:sz w:val="24"/>
          <w:szCs w:val="24"/>
        </w:rPr>
        <w:t>.</w:t>
      </w:r>
    </w:p>
    <w:p w:rsidR="00241421" w:rsidRDefault="00241421" w:rsidP="00185048">
      <w:pPr>
        <w:ind w:left="993" w:hanging="633"/>
        <w:rPr>
          <w:rFonts w:ascii="Arial" w:hAnsi="Arial" w:cs="Arial"/>
          <w:sz w:val="24"/>
          <w:szCs w:val="24"/>
        </w:rPr>
      </w:pPr>
    </w:p>
    <w:p w:rsidR="000B50CB" w:rsidRPr="00EE6F7F" w:rsidRDefault="000B50CB" w:rsidP="00185048">
      <w:pPr>
        <w:pStyle w:val="ListParagraph"/>
        <w:numPr>
          <w:ilvl w:val="1"/>
          <w:numId w:val="17"/>
        </w:numPr>
        <w:ind w:left="993" w:hanging="633"/>
        <w:rPr>
          <w:rFonts w:ascii="Arial" w:hAnsi="Arial" w:cs="Arial"/>
          <w:sz w:val="24"/>
          <w:szCs w:val="24"/>
        </w:rPr>
      </w:pPr>
      <w:r w:rsidRPr="00EE6F7F">
        <w:rPr>
          <w:rFonts w:ascii="Arial" w:hAnsi="Arial" w:cs="Arial"/>
          <w:sz w:val="24"/>
          <w:szCs w:val="24"/>
        </w:rPr>
        <w:t>At an early stage in developing rate retention it was pointed out by authority representatives that the aggregate of appeal  provisions of individual authorities would greatly exceed a central provision made by central government who could b</w:t>
      </w:r>
      <w:r w:rsidR="00025029" w:rsidRPr="00EE6F7F">
        <w:rPr>
          <w:rFonts w:ascii="Arial" w:hAnsi="Arial" w:cs="Arial"/>
          <w:sz w:val="24"/>
          <w:szCs w:val="24"/>
        </w:rPr>
        <w:t>alance out claim experience across</w:t>
      </w:r>
      <w:r w:rsidRPr="00EE6F7F">
        <w:rPr>
          <w:rFonts w:ascii="Arial" w:hAnsi="Arial" w:cs="Arial"/>
          <w:sz w:val="24"/>
          <w:szCs w:val="24"/>
        </w:rPr>
        <w:t xml:space="preserve"> the UK. </w:t>
      </w:r>
    </w:p>
    <w:p w:rsidR="00025029" w:rsidRDefault="00025029" w:rsidP="00185048">
      <w:pPr>
        <w:ind w:left="993" w:hanging="633"/>
        <w:rPr>
          <w:rFonts w:ascii="Arial" w:hAnsi="Arial" w:cs="Arial"/>
          <w:sz w:val="24"/>
          <w:szCs w:val="24"/>
        </w:rPr>
      </w:pPr>
    </w:p>
    <w:p w:rsidR="00025029" w:rsidRPr="00EE6F7F" w:rsidRDefault="00025029" w:rsidP="00185048">
      <w:pPr>
        <w:pStyle w:val="ListParagraph"/>
        <w:numPr>
          <w:ilvl w:val="1"/>
          <w:numId w:val="17"/>
        </w:numPr>
        <w:ind w:left="993" w:hanging="633"/>
        <w:rPr>
          <w:rFonts w:ascii="Arial" w:hAnsi="Arial" w:cs="Arial"/>
          <w:sz w:val="24"/>
          <w:szCs w:val="24"/>
        </w:rPr>
      </w:pPr>
      <w:r w:rsidRPr="00EE6F7F">
        <w:rPr>
          <w:rFonts w:ascii="Arial" w:hAnsi="Arial" w:cs="Arial"/>
          <w:sz w:val="24"/>
          <w:szCs w:val="24"/>
        </w:rPr>
        <w:t>The Committee are encouraged to press DCLG as to the real benefit of exposing authoritie</w:t>
      </w:r>
      <w:r w:rsidR="007C6A7E" w:rsidRPr="00EE6F7F">
        <w:rPr>
          <w:rFonts w:ascii="Arial" w:hAnsi="Arial" w:cs="Arial"/>
          <w:sz w:val="24"/>
          <w:szCs w:val="24"/>
        </w:rPr>
        <w:t xml:space="preserve">s to local appeal risks and to explain this in the context of </w:t>
      </w:r>
      <w:r w:rsidRPr="00EE6F7F">
        <w:rPr>
          <w:rFonts w:ascii="Arial" w:hAnsi="Arial" w:cs="Arial"/>
          <w:sz w:val="24"/>
          <w:szCs w:val="24"/>
        </w:rPr>
        <w:t xml:space="preserve"> recent cases that are causing authorities concern:</w:t>
      </w:r>
    </w:p>
    <w:p w:rsidR="00025029" w:rsidRDefault="00025029" w:rsidP="00EE6F7F">
      <w:pPr>
        <w:rPr>
          <w:rFonts w:ascii="Arial" w:hAnsi="Arial" w:cs="Arial"/>
          <w:sz w:val="24"/>
          <w:szCs w:val="24"/>
        </w:rPr>
      </w:pPr>
    </w:p>
    <w:p w:rsidR="00AE0CC1" w:rsidRPr="00EE6F7F" w:rsidRDefault="00AE0CC1" w:rsidP="00185048">
      <w:pPr>
        <w:pStyle w:val="ListParagraph"/>
        <w:numPr>
          <w:ilvl w:val="0"/>
          <w:numId w:val="23"/>
        </w:numPr>
        <w:ind w:left="1134"/>
        <w:rPr>
          <w:rFonts w:ascii="Arial" w:hAnsi="Arial" w:cs="Arial"/>
          <w:sz w:val="24"/>
          <w:szCs w:val="24"/>
        </w:rPr>
      </w:pPr>
      <w:r w:rsidRPr="00EE6F7F">
        <w:rPr>
          <w:rFonts w:ascii="Arial" w:hAnsi="Arial" w:cs="Arial"/>
          <w:sz w:val="24"/>
          <w:szCs w:val="24"/>
        </w:rPr>
        <w:t>-</w:t>
      </w:r>
      <w:r w:rsidR="00025029" w:rsidRPr="00EE6F7F">
        <w:rPr>
          <w:rFonts w:ascii="Arial" w:hAnsi="Arial" w:cs="Arial"/>
          <w:sz w:val="24"/>
          <w:szCs w:val="24"/>
        </w:rPr>
        <w:t xml:space="preserve">Virgin Media request to have national hereditaments </w:t>
      </w:r>
      <w:r w:rsidRPr="00EE6F7F">
        <w:rPr>
          <w:rFonts w:ascii="Arial" w:hAnsi="Arial" w:cs="Arial"/>
          <w:sz w:val="24"/>
          <w:szCs w:val="24"/>
        </w:rPr>
        <w:t>assessed in one authority</w:t>
      </w:r>
    </w:p>
    <w:p w:rsidR="00AE0CC1" w:rsidRPr="00EE6F7F" w:rsidRDefault="00AE0CC1" w:rsidP="00185048">
      <w:pPr>
        <w:pStyle w:val="ListParagraph"/>
        <w:numPr>
          <w:ilvl w:val="0"/>
          <w:numId w:val="23"/>
        </w:numPr>
        <w:ind w:left="1134"/>
        <w:rPr>
          <w:rFonts w:ascii="Arial" w:hAnsi="Arial" w:cs="Arial"/>
          <w:sz w:val="24"/>
          <w:szCs w:val="24"/>
        </w:rPr>
      </w:pPr>
      <w:r w:rsidRPr="00EE6F7F">
        <w:rPr>
          <w:rFonts w:ascii="Arial" w:hAnsi="Arial" w:cs="Arial"/>
          <w:sz w:val="24"/>
          <w:szCs w:val="24"/>
        </w:rPr>
        <w:t>-Appeals by Health Centres</w:t>
      </w:r>
    </w:p>
    <w:p w:rsidR="00AE0CC1" w:rsidRDefault="00AE0CC1">
      <w:pPr>
        <w:rPr>
          <w:rFonts w:ascii="Arial" w:hAnsi="Arial" w:cs="Arial"/>
          <w:sz w:val="24"/>
          <w:szCs w:val="24"/>
        </w:rPr>
      </w:pPr>
    </w:p>
    <w:p w:rsidR="00130022" w:rsidRPr="00EE6F7F" w:rsidRDefault="00075C79" w:rsidP="00185048">
      <w:pPr>
        <w:pStyle w:val="ListParagraph"/>
        <w:numPr>
          <w:ilvl w:val="1"/>
          <w:numId w:val="17"/>
        </w:numPr>
        <w:ind w:left="993" w:hanging="633"/>
        <w:rPr>
          <w:rFonts w:ascii="Arial" w:hAnsi="Arial" w:cs="Arial"/>
          <w:sz w:val="24"/>
          <w:szCs w:val="24"/>
        </w:rPr>
      </w:pPr>
      <w:r w:rsidRPr="00EE6F7F">
        <w:rPr>
          <w:rFonts w:ascii="Arial" w:hAnsi="Arial" w:cs="Arial"/>
          <w:sz w:val="24"/>
          <w:szCs w:val="24"/>
        </w:rPr>
        <w:t>The large and varying impact of appeals and particularly retrospective appeals can be seen in the table that follows. A more stable and predictable system of alterations to rating assessments is needed  to allow authorities to subsist under 100% retention.</w:t>
      </w:r>
    </w:p>
    <w:p w:rsidR="00A41B0C" w:rsidRDefault="00A41B0C">
      <w:pPr>
        <w:rPr>
          <w:rFonts w:ascii="Arial" w:hAnsi="Arial" w:cs="Arial"/>
          <w:sz w:val="24"/>
          <w:szCs w:val="24"/>
        </w:rPr>
      </w:pPr>
    </w:p>
    <w:p w:rsidR="00EE6F7F" w:rsidRDefault="00EE6F7F" w:rsidP="00EE6F7F">
      <w:pPr>
        <w:pStyle w:val="ListParagraph"/>
        <w:ind w:left="502"/>
        <w:rPr>
          <w:rFonts w:ascii="Arial" w:hAnsi="Arial" w:cs="Arial"/>
          <w:color w:val="943634" w:themeColor="accent2" w:themeShade="BF"/>
          <w:sz w:val="24"/>
          <w:szCs w:val="24"/>
        </w:rPr>
      </w:pPr>
    </w:p>
    <w:p w:rsidR="00EE6F7F" w:rsidRDefault="00EE6F7F" w:rsidP="00EE6F7F">
      <w:pPr>
        <w:pStyle w:val="ListParagraph"/>
        <w:ind w:left="502"/>
        <w:rPr>
          <w:rFonts w:ascii="Arial" w:hAnsi="Arial" w:cs="Arial"/>
          <w:color w:val="943634" w:themeColor="accent2" w:themeShade="BF"/>
          <w:sz w:val="24"/>
          <w:szCs w:val="24"/>
        </w:rPr>
      </w:pPr>
    </w:p>
    <w:p w:rsidR="007C6A7E" w:rsidRPr="00EE6F7F" w:rsidRDefault="00A41B0C" w:rsidP="00EE6F7F">
      <w:pPr>
        <w:pStyle w:val="ListParagraph"/>
        <w:ind w:left="502"/>
        <w:rPr>
          <w:rFonts w:ascii="Arial" w:hAnsi="Arial" w:cs="Arial"/>
          <w:color w:val="943634" w:themeColor="accent2" w:themeShade="BF"/>
          <w:sz w:val="24"/>
          <w:szCs w:val="24"/>
        </w:rPr>
      </w:pPr>
      <w:r w:rsidRPr="00EE6F7F">
        <w:rPr>
          <w:rFonts w:ascii="Arial" w:hAnsi="Arial" w:cs="Arial"/>
          <w:color w:val="943634" w:themeColor="accent2" w:themeShade="BF"/>
          <w:sz w:val="24"/>
          <w:szCs w:val="24"/>
        </w:rPr>
        <w:lastRenderedPageBreak/>
        <w:t>Impact of appeals by authority type</w:t>
      </w:r>
      <w:r w:rsidR="007725D9" w:rsidRPr="00EE6F7F">
        <w:rPr>
          <w:rFonts w:ascii="Arial" w:hAnsi="Arial" w:cs="Arial"/>
          <w:color w:val="943634" w:themeColor="accent2" w:themeShade="BF"/>
          <w:sz w:val="24"/>
          <w:szCs w:val="24"/>
        </w:rPr>
        <w:t xml:space="preserve"> 2013-14 actual results</w:t>
      </w:r>
      <w:r>
        <w:rPr>
          <w:rStyle w:val="FootnoteReference"/>
          <w:rFonts w:ascii="Arial" w:hAnsi="Arial" w:cs="Arial"/>
          <w:color w:val="943634" w:themeColor="accent2" w:themeShade="BF"/>
          <w:sz w:val="24"/>
          <w:szCs w:val="24"/>
        </w:rPr>
        <w:footnoteReference w:id="10"/>
      </w:r>
    </w:p>
    <w:p w:rsidR="007C6A7E" w:rsidRPr="00EE6F7F" w:rsidRDefault="00035EDD" w:rsidP="00EE6F7F">
      <w:pPr>
        <w:pStyle w:val="ListParagraph"/>
        <w:ind w:left="502"/>
        <w:rPr>
          <w:rFonts w:ascii="Arial" w:hAnsi="Arial" w:cs="Arial"/>
          <w:sz w:val="24"/>
          <w:szCs w:val="24"/>
        </w:rPr>
      </w:pPr>
      <w:r w:rsidRPr="00035EDD">
        <w:rPr>
          <w:noProof/>
          <w:lang w:eastAsia="en-GB"/>
        </w:rPr>
        <w:drawing>
          <wp:inline distT="0" distB="0" distL="0" distR="0" wp14:anchorId="1C2A06B3" wp14:editId="134FD3D3">
            <wp:extent cx="5647880" cy="2921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7389" cy="2931090"/>
                    </a:xfrm>
                    <a:prstGeom prst="rect">
                      <a:avLst/>
                    </a:prstGeom>
                    <a:noFill/>
                    <a:ln>
                      <a:noFill/>
                    </a:ln>
                  </pic:spPr>
                </pic:pic>
              </a:graphicData>
            </a:graphic>
          </wp:inline>
        </w:drawing>
      </w:r>
    </w:p>
    <w:p w:rsidR="00075C79" w:rsidRDefault="00075C79">
      <w:pPr>
        <w:rPr>
          <w:rFonts w:ascii="Arial" w:hAnsi="Arial" w:cs="Arial"/>
          <w:sz w:val="24"/>
          <w:szCs w:val="24"/>
        </w:rPr>
      </w:pPr>
    </w:p>
    <w:p w:rsidR="00075C79" w:rsidRPr="00EE6F7F" w:rsidRDefault="00075C79" w:rsidP="00185048">
      <w:pPr>
        <w:pStyle w:val="ListParagraph"/>
        <w:numPr>
          <w:ilvl w:val="1"/>
          <w:numId w:val="17"/>
        </w:numPr>
        <w:ind w:left="993" w:hanging="633"/>
        <w:rPr>
          <w:rFonts w:ascii="Arial" w:hAnsi="Arial" w:cs="Arial"/>
          <w:sz w:val="24"/>
          <w:szCs w:val="24"/>
        </w:rPr>
      </w:pPr>
      <w:r w:rsidRPr="00EE6F7F">
        <w:rPr>
          <w:rFonts w:ascii="Arial" w:hAnsi="Arial" w:cs="Arial"/>
          <w:sz w:val="24"/>
          <w:szCs w:val="24"/>
        </w:rPr>
        <w:t xml:space="preserve">The </w:t>
      </w:r>
      <w:r w:rsidR="007725D9" w:rsidRPr="00EE6F7F">
        <w:rPr>
          <w:rFonts w:ascii="Arial" w:hAnsi="Arial" w:cs="Arial"/>
          <w:sz w:val="24"/>
          <w:szCs w:val="24"/>
        </w:rPr>
        <w:t>C</w:t>
      </w:r>
      <w:r w:rsidRPr="00EE6F7F">
        <w:rPr>
          <w:rFonts w:ascii="Arial" w:hAnsi="Arial" w:cs="Arial"/>
          <w:sz w:val="24"/>
          <w:szCs w:val="24"/>
        </w:rPr>
        <w:t xml:space="preserve">ommittee are also requested to challenge Ministers as to their confidence in the ability and </w:t>
      </w:r>
      <w:r w:rsidR="00122DA6" w:rsidRPr="00EE6F7F">
        <w:rPr>
          <w:rFonts w:ascii="Arial" w:hAnsi="Arial" w:cs="Arial"/>
          <w:sz w:val="24"/>
          <w:szCs w:val="24"/>
        </w:rPr>
        <w:t>willingness</w:t>
      </w:r>
      <w:r w:rsidRPr="00EE6F7F">
        <w:rPr>
          <w:rFonts w:ascii="Arial" w:hAnsi="Arial" w:cs="Arial"/>
          <w:sz w:val="24"/>
          <w:szCs w:val="24"/>
        </w:rPr>
        <w:t xml:space="preserve"> of the Valuation Office Agency as currently configured within HMRC to deliver valuation decisions and information to their clients, local government, in a timely and reliable manner.</w:t>
      </w:r>
    </w:p>
    <w:p w:rsidR="003B51AF" w:rsidRDefault="003B51AF" w:rsidP="00075C79">
      <w:pPr>
        <w:rPr>
          <w:rFonts w:ascii="Arial" w:hAnsi="Arial" w:cs="Arial"/>
          <w:sz w:val="24"/>
          <w:szCs w:val="24"/>
        </w:rPr>
      </w:pPr>
    </w:p>
    <w:p w:rsidR="003B51AF" w:rsidRPr="00EE6F7F" w:rsidRDefault="003B51AF" w:rsidP="00EE6F7F">
      <w:pPr>
        <w:pStyle w:val="ListParagraph"/>
        <w:ind w:left="502"/>
        <w:rPr>
          <w:rFonts w:ascii="Arial" w:hAnsi="Arial" w:cs="Arial"/>
          <w:i/>
          <w:color w:val="943634" w:themeColor="accent2" w:themeShade="BF"/>
          <w:sz w:val="24"/>
          <w:szCs w:val="24"/>
        </w:rPr>
      </w:pPr>
      <w:r w:rsidRPr="00EE6F7F">
        <w:rPr>
          <w:rFonts w:ascii="Arial" w:hAnsi="Arial" w:cs="Arial"/>
          <w:i/>
          <w:color w:val="943634" w:themeColor="accent2" w:themeShade="BF"/>
          <w:sz w:val="24"/>
          <w:szCs w:val="24"/>
        </w:rPr>
        <w:t>Freedom to set local reliefs and discounts</w:t>
      </w:r>
    </w:p>
    <w:p w:rsidR="003B51AF" w:rsidRDefault="003B51AF" w:rsidP="00075C79">
      <w:pPr>
        <w:rPr>
          <w:rFonts w:ascii="Arial" w:hAnsi="Arial" w:cs="Arial"/>
          <w:sz w:val="24"/>
          <w:szCs w:val="24"/>
        </w:rPr>
      </w:pPr>
    </w:p>
    <w:p w:rsidR="003B51AF" w:rsidRPr="00EE6F7F" w:rsidRDefault="003B51AF" w:rsidP="00EE6F7F">
      <w:pPr>
        <w:pStyle w:val="ListParagraph"/>
        <w:numPr>
          <w:ilvl w:val="0"/>
          <w:numId w:val="17"/>
        </w:numPr>
        <w:rPr>
          <w:rFonts w:ascii="Arial" w:hAnsi="Arial" w:cs="Arial"/>
          <w:sz w:val="24"/>
          <w:szCs w:val="24"/>
        </w:rPr>
      </w:pPr>
      <w:r w:rsidRPr="00EE6F7F">
        <w:rPr>
          <w:rFonts w:ascii="Arial" w:hAnsi="Arial" w:cs="Arial"/>
          <w:sz w:val="24"/>
          <w:szCs w:val="24"/>
        </w:rPr>
        <w:t>The business rate on which authorities are to be increasingly reliant remains a tool of central Governments wider policy aims. Ongoing examples are:</w:t>
      </w:r>
    </w:p>
    <w:p w:rsidR="003B51AF" w:rsidRDefault="003B51AF" w:rsidP="00075C79">
      <w:pPr>
        <w:rPr>
          <w:rFonts w:ascii="Arial" w:hAnsi="Arial" w:cs="Arial"/>
          <w:sz w:val="24"/>
          <w:szCs w:val="24"/>
        </w:rPr>
      </w:pPr>
    </w:p>
    <w:p w:rsidR="003B51AF" w:rsidRPr="00DC3024" w:rsidRDefault="003B51AF" w:rsidP="00185048">
      <w:pPr>
        <w:pStyle w:val="ListParagraph"/>
        <w:numPr>
          <w:ilvl w:val="0"/>
          <w:numId w:val="28"/>
        </w:numPr>
        <w:rPr>
          <w:rFonts w:ascii="Arial" w:hAnsi="Arial" w:cs="Arial"/>
          <w:sz w:val="24"/>
          <w:szCs w:val="24"/>
        </w:rPr>
      </w:pPr>
      <w:r w:rsidRPr="00DC3024">
        <w:rPr>
          <w:rFonts w:ascii="Arial" w:hAnsi="Arial" w:cs="Arial"/>
          <w:sz w:val="24"/>
          <w:szCs w:val="24"/>
        </w:rPr>
        <w:t>Charitable relief</w:t>
      </w:r>
      <w:r w:rsidR="007F0156">
        <w:rPr>
          <w:rFonts w:ascii="Arial" w:hAnsi="Arial" w:cs="Arial"/>
          <w:sz w:val="24"/>
          <w:szCs w:val="24"/>
        </w:rPr>
        <w:t>,</w:t>
      </w:r>
      <w:r w:rsidRPr="00DC3024">
        <w:rPr>
          <w:rFonts w:ascii="Arial" w:hAnsi="Arial" w:cs="Arial"/>
          <w:sz w:val="24"/>
          <w:szCs w:val="24"/>
        </w:rPr>
        <w:t xml:space="preserve"> which cost authorities £750 million in 2015-16</w:t>
      </w:r>
    </w:p>
    <w:p w:rsidR="003B51AF" w:rsidRDefault="003B51AF" w:rsidP="00075C79">
      <w:pPr>
        <w:rPr>
          <w:rFonts w:ascii="Arial" w:hAnsi="Arial" w:cs="Arial"/>
          <w:sz w:val="24"/>
          <w:szCs w:val="24"/>
        </w:rPr>
      </w:pPr>
    </w:p>
    <w:p w:rsidR="003B51AF" w:rsidRPr="00DC3024" w:rsidRDefault="003B51AF" w:rsidP="00185048">
      <w:pPr>
        <w:pStyle w:val="ListParagraph"/>
        <w:numPr>
          <w:ilvl w:val="0"/>
          <w:numId w:val="28"/>
        </w:numPr>
        <w:rPr>
          <w:rFonts w:ascii="Arial" w:hAnsi="Arial" w:cs="Arial"/>
          <w:sz w:val="24"/>
          <w:szCs w:val="24"/>
        </w:rPr>
      </w:pPr>
      <w:r w:rsidRPr="00DC3024">
        <w:rPr>
          <w:rFonts w:ascii="Arial" w:hAnsi="Arial" w:cs="Arial"/>
          <w:sz w:val="24"/>
          <w:szCs w:val="24"/>
        </w:rPr>
        <w:t>Small Business relief which cost authorities £110 million in 2015-16</w:t>
      </w:r>
    </w:p>
    <w:p w:rsidR="003B51AF" w:rsidRDefault="003B51AF" w:rsidP="00075C79">
      <w:pPr>
        <w:rPr>
          <w:rFonts w:ascii="Arial" w:hAnsi="Arial" w:cs="Arial"/>
          <w:sz w:val="24"/>
          <w:szCs w:val="24"/>
        </w:rPr>
      </w:pPr>
    </w:p>
    <w:p w:rsidR="00DC3024" w:rsidRPr="00EE6F7F" w:rsidRDefault="00DC3024" w:rsidP="00185048">
      <w:pPr>
        <w:pStyle w:val="ListParagraph"/>
        <w:numPr>
          <w:ilvl w:val="1"/>
          <w:numId w:val="17"/>
        </w:numPr>
        <w:ind w:left="993" w:hanging="633"/>
        <w:rPr>
          <w:rFonts w:ascii="Arial" w:hAnsi="Arial" w:cs="Arial"/>
          <w:sz w:val="24"/>
          <w:szCs w:val="24"/>
        </w:rPr>
      </w:pPr>
      <w:r w:rsidRPr="00EE6F7F">
        <w:rPr>
          <w:rFonts w:ascii="Arial" w:hAnsi="Arial" w:cs="Arial"/>
          <w:sz w:val="24"/>
          <w:szCs w:val="24"/>
        </w:rPr>
        <w:t>There are other examples of rel</w:t>
      </w:r>
      <w:r w:rsidR="00122DA6" w:rsidRPr="00EE6F7F">
        <w:rPr>
          <w:rFonts w:ascii="Arial" w:hAnsi="Arial" w:cs="Arial"/>
          <w:sz w:val="24"/>
          <w:szCs w:val="24"/>
        </w:rPr>
        <w:t>iefs which were re</w:t>
      </w:r>
      <w:r w:rsidRPr="00EE6F7F">
        <w:rPr>
          <w:rFonts w:ascii="Arial" w:hAnsi="Arial" w:cs="Arial"/>
          <w:sz w:val="24"/>
          <w:szCs w:val="24"/>
        </w:rPr>
        <w:t>imbursed by Government but administered by authorities</w:t>
      </w:r>
      <w:r w:rsidR="00F00686" w:rsidRPr="00EE6F7F">
        <w:rPr>
          <w:rFonts w:ascii="Arial" w:hAnsi="Arial" w:cs="Arial"/>
          <w:sz w:val="24"/>
          <w:szCs w:val="24"/>
        </w:rPr>
        <w:t>,</w:t>
      </w:r>
      <w:r w:rsidRPr="00EE6F7F">
        <w:rPr>
          <w:rFonts w:ascii="Arial" w:hAnsi="Arial" w:cs="Arial"/>
          <w:sz w:val="24"/>
          <w:szCs w:val="24"/>
        </w:rPr>
        <w:t xml:space="preserve"> such as small retailer relief.</w:t>
      </w:r>
    </w:p>
    <w:p w:rsidR="00DC3024" w:rsidRDefault="00DC3024" w:rsidP="00DC3024">
      <w:pPr>
        <w:rPr>
          <w:rFonts w:ascii="Arial" w:hAnsi="Arial" w:cs="Arial"/>
          <w:sz w:val="24"/>
          <w:szCs w:val="24"/>
        </w:rPr>
      </w:pPr>
    </w:p>
    <w:p w:rsidR="00DC3024" w:rsidRPr="00EE6F7F" w:rsidRDefault="00DC3024" w:rsidP="00185048">
      <w:pPr>
        <w:pStyle w:val="ListParagraph"/>
        <w:numPr>
          <w:ilvl w:val="1"/>
          <w:numId w:val="17"/>
        </w:numPr>
        <w:ind w:left="993" w:hanging="633"/>
        <w:rPr>
          <w:rFonts w:ascii="Arial" w:hAnsi="Arial" w:cs="Arial"/>
          <w:sz w:val="24"/>
          <w:szCs w:val="24"/>
        </w:rPr>
      </w:pPr>
      <w:r w:rsidRPr="00EE6F7F">
        <w:rPr>
          <w:rFonts w:ascii="Arial" w:hAnsi="Arial" w:cs="Arial"/>
          <w:sz w:val="24"/>
          <w:szCs w:val="24"/>
        </w:rPr>
        <w:t xml:space="preserve">Of course it is Governments prerogative to support small enterprises and charities to the extent the Treasury can afford </w:t>
      </w:r>
      <w:r w:rsidR="00122DA6" w:rsidRPr="00EE6F7F">
        <w:rPr>
          <w:rFonts w:ascii="Arial" w:hAnsi="Arial" w:cs="Arial"/>
          <w:sz w:val="24"/>
          <w:szCs w:val="24"/>
        </w:rPr>
        <w:t xml:space="preserve">, </w:t>
      </w:r>
      <w:r w:rsidRPr="00EE6F7F">
        <w:rPr>
          <w:rFonts w:ascii="Arial" w:hAnsi="Arial" w:cs="Arial"/>
          <w:sz w:val="24"/>
          <w:szCs w:val="24"/>
        </w:rPr>
        <w:t xml:space="preserve">but rate retention and especially 100% rate retention means that local government alone bears the total </w:t>
      </w:r>
      <w:r w:rsidR="007725D9" w:rsidRPr="00EE6F7F">
        <w:rPr>
          <w:rFonts w:ascii="Arial" w:hAnsi="Arial" w:cs="Arial"/>
          <w:sz w:val="24"/>
          <w:szCs w:val="24"/>
        </w:rPr>
        <w:t>impact of this</w:t>
      </w:r>
      <w:r w:rsidRPr="00EE6F7F">
        <w:rPr>
          <w:rFonts w:ascii="Arial" w:hAnsi="Arial" w:cs="Arial"/>
          <w:sz w:val="24"/>
          <w:szCs w:val="24"/>
        </w:rPr>
        <w:t xml:space="preserve"> central government policy.</w:t>
      </w:r>
    </w:p>
    <w:p w:rsidR="00DC3024" w:rsidRDefault="00DC3024" w:rsidP="00DC3024">
      <w:pPr>
        <w:rPr>
          <w:rFonts w:ascii="Arial" w:hAnsi="Arial" w:cs="Arial"/>
          <w:sz w:val="24"/>
          <w:szCs w:val="24"/>
        </w:rPr>
      </w:pPr>
    </w:p>
    <w:p w:rsidR="00DC3024" w:rsidRPr="00EE6F7F" w:rsidRDefault="00DC3024" w:rsidP="00185048">
      <w:pPr>
        <w:pStyle w:val="ListParagraph"/>
        <w:numPr>
          <w:ilvl w:val="1"/>
          <w:numId w:val="17"/>
        </w:numPr>
        <w:ind w:left="993" w:hanging="633"/>
        <w:rPr>
          <w:rFonts w:ascii="Arial" w:hAnsi="Arial" w:cs="Arial"/>
          <w:sz w:val="24"/>
          <w:szCs w:val="24"/>
        </w:rPr>
      </w:pPr>
      <w:r w:rsidRPr="00EE6F7F">
        <w:rPr>
          <w:rFonts w:ascii="Arial" w:hAnsi="Arial" w:cs="Arial"/>
          <w:sz w:val="24"/>
          <w:szCs w:val="24"/>
        </w:rPr>
        <w:t xml:space="preserve">These policies were the subject of a review of HM Treasury of </w:t>
      </w:r>
      <w:r w:rsidR="008B77E1" w:rsidRPr="00EE6F7F">
        <w:rPr>
          <w:rFonts w:ascii="Arial" w:hAnsi="Arial" w:cs="Arial"/>
          <w:sz w:val="24"/>
          <w:szCs w:val="24"/>
        </w:rPr>
        <w:t>Business rates</w:t>
      </w:r>
      <w:r w:rsidRPr="00EE6F7F">
        <w:rPr>
          <w:rFonts w:ascii="Arial" w:hAnsi="Arial" w:cs="Arial"/>
          <w:sz w:val="24"/>
          <w:szCs w:val="24"/>
        </w:rPr>
        <w:t xml:space="preserve"> due </w:t>
      </w:r>
      <w:r w:rsidR="00122DA6" w:rsidRPr="00EE6F7F">
        <w:rPr>
          <w:rFonts w:ascii="Arial" w:hAnsi="Arial" w:cs="Arial"/>
          <w:sz w:val="24"/>
          <w:szCs w:val="24"/>
        </w:rPr>
        <w:t>to announce in the March Budget and we hope to hear of changes in policy that will spread the impact of support to charities and small</w:t>
      </w:r>
      <w:r w:rsidR="00BF0451" w:rsidRPr="00EE6F7F">
        <w:rPr>
          <w:rFonts w:ascii="Arial" w:hAnsi="Arial" w:cs="Arial"/>
          <w:sz w:val="24"/>
          <w:szCs w:val="24"/>
        </w:rPr>
        <w:t xml:space="preserve"> business over the wider  economy.</w:t>
      </w:r>
    </w:p>
    <w:p w:rsidR="00DC3024" w:rsidRDefault="00DC3024" w:rsidP="00DC3024">
      <w:pPr>
        <w:rPr>
          <w:rFonts w:ascii="Arial" w:hAnsi="Arial" w:cs="Arial"/>
          <w:sz w:val="24"/>
          <w:szCs w:val="24"/>
        </w:rPr>
      </w:pPr>
    </w:p>
    <w:p w:rsidR="00BF0451" w:rsidRPr="00EE6F7F" w:rsidRDefault="00DC3024" w:rsidP="00185048">
      <w:pPr>
        <w:pStyle w:val="ListParagraph"/>
        <w:numPr>
          <w:ilvl w:val="1"/>
          <w:numId w:val="17"/>
        </w:numPr>
        <w:ind w:left="993" w:hanging="633"/>
        <w:rPr>
          <w:rFonts w:ascii="Arial" w:hAnsi="Arial" w:cs="Arial"/>
          <w:b/>
          <w:sz w:val="24"/>
          <w:szCs w:val="24"/>
        </w:rPr>
      </w:pPr>
      <w:r w:rsidRPr="00EE6F7F">
        <w:rPr>
          <w:rFonts w:ascii="Arial" w:hAnsi="Arial" w:cs="Arial"/>
          <w:b/>
          <w:sz w:val="24"/>
          <w:szCs w:val="24"/>
        </w:rPr>
        <w:t xml:space="preserve">The </w:t>
      </w:r>
      <w:r w:rsidR="007725D9" w:rsidRPr="00EE6F7F">
        <w:rPr>
          <w:rFonts w:ascii="Arial" w:hAnsi="Arial" w:cs="Arial"/>
          <w:b/>
          <w:sz w:val="24"/>
          <w:szCs w:val="24"/>
        </w:rPr>
        <w:t>C</w:t>
      </w:r>
      <w:r w:rsidRPr="00EE6F7F">
        <w:rPr>
          <w:rFonts w:ascii="Arial" w:hAnsi="Arial" w:cs="Arial"/>
          <w:b/>
          <w:sz w:val="24"/>
          <w:szCs w:val="24"/>
        </w:rPr>
        <w:t xml:space="preserve">ommittee </w:t>
      </w:r>
      <w:r w:rsidR="007725D9" w:rsidRPr="00EE6F7F">
        <w:rPr>
          <w:rFonts w:ascii="Arial" w:hAnsi="Arial" w:cs="Arial"/>
          <w:b/>
          <w:sz w:val="24"/>
          <w:szCs w:val="24"/>
        </w:rPr>
        <w:t>are request to identify</w:t>
      </w:r>
      <w:r w:rsidRPr="00EE6F7F">
        <w:rPr>
          <w:rFonts w:ascii="Arial" w:hAnsi="Arial" w:cs="Arial"/>
          <w:b/>
          <w:sz w:val="24"/>
          <w:szCs w:val="24"/>
        </w:rPr>
        <w:t xml:space="preserve"> and monitor DCLGs and Treasury’s policy in respect of reliefs </w:t>
      </w:r>
      <w:r w:rsidR="00BF0451" w:rsidRPr="00EE6F7F">
        <w:rPr>
          <w:rFonts w:ascii="Arial" w:hAnsi="Arial" w:cs="Arial"/>
          <w:b/>
          <w:sz w:val="24"/>
          <w:szCs w:val="24"/>
        </w:rPr>
        <w:t xml:space="preserve">as they currently affect business rates </w:t>
      </w:r>
      <w:r w:rsidRPr="00EE6F7F">
        <w:rPr>
          <w:rFonts w:ascii="Arial" w:hAnsi="Arial" w:cs="Arial"/>
          <w:b/>
          <w:sz w:val="24"/>
          <w:szCs w:val="24"/>
        </w:rPr>
        <w:t xml:space="preserve">and </w:t>
      </w:r>
      <w:r w:rsidR="00BF0451" w:rsidRPr="00EE6F7F">
        <w:rPr>
          <w:rFonts w:ascii="Arial" w:hAnsi="Arial" w:cs="Arial"/>
          <w:b/>
          <w:sz w:val="24"/>
          <w:szCs w:val="24"/>
        </w:rPr>
        <w:t xml:space="preserve">to </w:t>
      </w:r>
      <w:r w:rsidRPr="00EE6F7F">
        <w:rPr>
          <w:rFonts w:ascii="Arial" w:hAnsi="Arial" w:cs="Arial"/>
          <w:b/>
          <w:sz w:val="24"/>
          <w:szCs w:val="24"/>
        </w:rPr>
        <w:t>support wherever possible a complete localisation of reliefs.</w:t>
      </w:r>
    </w:p>
    <w:p w:rsidR="00BF0451" w:rsidRDefault="00BF0451" w:rsidP="00185048">
      <w:pPr>
        <w:ind w:left="993" w:hanging="633"/>
        <w:rPr>
          <w:rFonts w:ascii="Arial" w:hAnsi="Arial" w:cs="Arial"/>
          <w:sz w:val="24"/>
          <w:szCs w:val="24"/>
        </w:rPr>
      </w:pPr>
    </w:p>
    <w:p w:rsidR="00DC3024" w:rsidRPr="00EE6F7F" w:rsidRDefault="00DC3024" w:rsidP="00185048">
      <w:pPr>
        <w:pStyle w:val="ListParagraph"/>
        <w:numPr>
          <w:ilvl w:val="1"/>
          <w:numId w:val="17"/>
        </w:numPr>
        <w:ind w:left="993" w:hanging="633"/>
        <w:rPr>
          <w:rFonts w:ascii="Arial" w:hAnsi="Arial" w:cs="Arial"/>
          <w:b/>
          <w:sz w:val="24"/>
          <w:szCs w:val="24"/>
        </w:rPr>
      </w:pPr>
      <w:r w:rsidRPr="00EE6F7F">
        <w:rPr>
          <w:rFonts w:ascii="Arial" w:hAnsi="Arial" w:cs="Arial"/>
          <w:b/>
          <w:sz w:val="24"/>
          <w:szCs w:val="24"/>
        </w:rPr>
        <w:t>Should charitable relief in particular remain</w:t>
      </w:r>
      <w:r w:rsidR="00BF0451" w:rsidRPr="00EE6F7F">
        <w:rPr>
          <w:rFonts w:ascii="Arial" w:hAnsi="Arial" w:cs="Arial"/>
          <w:b/>
          <w:sz w:val="24"/>
          <w:szCs w:val="24"/>
        </w:rPr>
        <w:t>,</w:t>
      </w:r>
      <w:r w:rsidRPr="00EE6F7F">
        <w:rPr>
          <w:rFonts w:ascii="Arial" w:hAnsi="Arial" w:cs="Arial"/>
          <w:b/>
          <w:sz w:val="24"/>
          <w:szCs w:val="24"/>
        </w:rPr>
        <w:t xml:space="preserve"> the Committee are encouraged to challenge the Minister as to action to mitigate the widespread abuse of this relief</w:t>
      </w:r>
      <w:r w:rsidR="008B77E1" w:rsidRPr="00EE6F7F">
        <w:rPr>
          <w:rFonts w:ascii="Arial" w:hAnsi="Arial" w:cs="Arial"/>
          <w:b/>
          <w:sz w:val="24"/>
          <w:szCs w:val="24"/>
        </w:rPr>
        <w:t>.</w:t>
      </w:r>
    </w:p>
    <w:p w:rsidR="00BF0451" w:rsidRDefault="00BF0451" w:rsidP="00185048">
      <w:pPr>
        <w:ind w:left="1134" w:hanging="1134"/>
        <w:rPr>
          <w:rFonts w:ascii="Arial" w:hAnsi="Arial" w:cs="Arial"/>
          <w:sz w:val="24"/>
          <w:szCs w:val="24"/>
        </w:rPr>
      </w:pPr>
    </w:p>
    <w:p w:rsidR="00BF0451" w:rsidRPr="00EE6F7F" w:rsidRDefault="00BF0451" w:rsidP="00185048">
      <w:pPr>
        <w:pStyle w:val="ListParagraph"/>
        <w:numPr>
          <w:ilvl w:val="1"/>
          <w:numId w:val="17"/>
        </w:numPr>
        <w:ind w:left="1134" w:hanging="1134"/>
        <w:rPr>
          <w:rFonts w:ascii="Arial" w:hAnsi="Arial" w:cs="Arial"/>
          <w:sz w:val="24"/>
          <w:szCs w:val="24"/>
        </w:rPr>
      </w:pPr>
      <w:r w:rsidRPr="00EE6F7F">
        <w:rPr>
          <w:rFonts w:ascii="Arial" w:hAnsi="Arial" w:cs="Arial"/>
          <w:sz w:val="24"/>
          <w:szCs w:val="24"/>
        </w:rPr>
        <w:t>In addition</w:t>
      </w:r>
      <w:r w:rsidR="007F0156" w:rsidRPr="00EE6F7F">
        <w:rPr>
          <w:rFonts w:ascii="Arial" w:hAnsi="Arial" w:cs="Arial"/>
          <w:sz w:val="24"/>
          <w:szCs w:val="24"/>
        </w:rPr>
        <w:t>, members</w:t>
      </w:r>
      <w:r w:rsidRPr="00EE6F7F">
        <w:rPr>
          <w:rFonts w:ascii="Arial" w:hAnsi="Arial" w:cs="Arial"/>
          <w:sz w:val="24"/>
          <w:szCs w:val="24"/>
        </w:rPr>
        <w:t xml:space="preserve"> would be interested in </w:t>
      </w:r>
      <w:r w:rsidR="007725D9" w:rsidRPr="00EE6F7F">
        <w:rPr>
          <w:rFonts w:ascii="Arial" w:hAnsi="Arial" w:cs="Arial"/>
          <w:sz w:val="24"/>
          <w:szCs w:val="24"/>
        </w:rPr>
        <w:t>M</w:t>
      </w:r>
      <w:r w:rsidRPr="00EE6F7F">
        <w:rPr>
          <w:rFonts w:ascii="Arial" w:hAnsi="Arial" w:cs="Arial"/>
          <w:sz w:val="24"/>
          <w:szCs w:val="24"/>
        </w:rPr>
        <w:t xml:space="preserve">inisters views on </w:t>
      </w:r>
      <w:r w:rsidR="007725D9" w:rsidRPr="00EE6F7F">
        <w:rPr>
          <w:rFonts w:ascii="Arial" w:hAnsi="Arial" w:cs="Arial"/>
          <w:sz w:val="24"/>
          <w:szCs w:val="24"/>
        </w:rPr>
        <w:t xml:space="preserve">introducing </w:t>
      </w:r>
      <w:r w:rsidRPr="00EE6F7F">
        <w:rPr>
          <w:rFonts w:ascii="Arial" w:hAnsi="Arial" w:cs="Arial"/>
          <w:sz w:val="24"/>
          <w:szCs w:val="24"/>
        </w:rPr>
        <w:t xml:space="preserve">specific premiums </w:t>
      </w:r>
      <w:r w:rsidR="007725D9" w:rsidRPr="00EE6F7F">
        <w:rPr>
          <w:rFonts w:ascii="Arial" w:hAnsi="Arial" w:cs="Arial"/>
          <w:sz w:val="24"/>
          <w:szCs w:val="24"/>
        </w:rPr>
        <w:t>at local discretion</w:t>
      </w:r>
      <w:r w:rsidRPr="00EE6F7F">
        <w:rPr>
          <w:rFonts w:ascii="Arial" w:hAnsi="Arial" w:cs="Arial"/>
          <w:sz w:val="24"/>
          <w:szCs w:val="24"/>
        </w:rPr>
        <w:t xml:space="preserve">, in a similar vein to recent changes in </w:t>
      </w:r>
      <w:r w:rsidR="007725D9" w:rsidRPr="00EE6F7F">
        <w:rPr>
          <w:rFonts w:ascii="Arial" w:hAnsi="Arial" w:cs="Arial"/>
          <w:sz w:val="24"/>
          <w:szCs w:val="24"/>
        </w:rPr>
        <w:t>Council</w:t>
      </w:r>
      <w:r w:rsidRPr="00EE6F7F">
        <w:rPr>
          <w:rFonts w:ascii="Arial" w:hAnsi="Arial" w:cs="Arial"/>
          <w:sz w:val="24"/>
          <w:szCs w:val="24"/>
        </w:rPr>
        <w:t xml:space="preserve"> Tax. This could include for example:</w:t>
      </w:r>
    </w:p>
    <w:p w:rsidR="00BF0451" w:rsidRDefault="00BF0451" w:rsidP="00185048">
      <w:pPr>
        <w:ind w:left="1134" w:hanging="1134"/>
        <w:rPr>
          <w:rFonts w:ascii="Arial" w:hAnsi="Arial" w:cs="Arial"/>
          <w:sz w:val="24"/>
          <w:szCs w:val="24"/>
        </w:rPr>
      </w:pPr>
    </w:p>
    <w:p w:rsidR="00BF0451" w:rsidRPr="00F00686" w:rsidRDefault="00BF0451" w:rsidP="00185048">
      <w:pPr>
        <w:pStyle w:val="ListParagraph"/>
        <w:numPr>
          <w:ilvl w:val="1"/>
          <w:numId w:val="17"/>
        </w:numPr>
        <w:ind w:left="1134" w:hanging="1134"/>
        <w:rPr>
          <w:rFonts w:ascii="Arial" w:hAnsi="Arial" w:cs="Arial"/>
          <w:sz w:val="24"/>
          <w:szCs w:val="24"/>
        </w:rPr>
      </w:pPr>
      <w:r w:rsidRPr="00F00686">
        <w:rPr>
          <w:rFonts w:ascii="Arial" w:hAnsi="Arial" w:cs="Arial"/>
          <w:sz w:val="24"/>
          <w:szCs w:val="24"/>
        </w:rPr>
        <w:t>Premium on undeveloped sites that have planning permission for business use.</w:t>
      </w:r>
    </w:p>
    <w:p w:rsidR="00BF0451" w:rsidRPr="00F00686" w:rsidRDefault="00FE4F10" w:rsidP="00185048">
      <w:pPr>
        <w:pStyle w:val="ListParagraph"/>
        <w:numPr>
          <w:ilvl w:val="1"/>
          <w:numId w:val="17"/>
        </w:numPr>
        <w:ind w:left="1134" w:hanging="1134"/>
        <w:rPr>
          <w:rFonts w:ascii="Arial" w:hAnsi="Arial" w:cs="Arial"/>
          <w:sz w:val="24"/>
          <w:szCs w:val="24"/>
        </w:rPr>
      </w:pPr>
      <w:r w:rsidRPr="00F00686">
        <w:rPr>
          <w:rFonts w:ascii="Arial" w:hAnsi="Arial" w:cs="Arial"/>
          <w:sz w:val="24"/>
          <w:szCs w:val="24"/>
        </w:rPr>
        <w:t>Deterrent premiums for anti-social developments that discourage other businesses or cost more in authority services.</w:t>
      </w:r>
    </w:p>
    <w:p w:rsidR="003B51AF" w:rsidRDefault="003B51AF" w:rsidP="00185048">
      <w:pPr>
        <w:ind w:left="1134" w:hanging="1134"/>
        <w:rPr>
          <w:rFonts w:ascii="Arial" w:hAnsi="Arial" w:cs="Arial"/>
          <w:sz w:val="24"/>
          <w:szCs w:val="24"/>
        </w:rPr>
      </w:pPr>
    </w:p>
    <w:p w:rsidR="003B51AF" w:rsidRPr="00EE6F7F" w:rsidRDefault="007F0156" w:rsidP="00185048">
      <w:pPr>
        <w:pStyle w:val="ListParagraph"/>
        <w:numPr>
          <w:ilvl w:val="1"/>
          <w:numId w:val="17"/>
        </w:numPr>
        <w:ind w:left="1134" w:hanging="1134"/>
        <w:rPr>
          <w:rFonts w:ascii="Arial" w:hAnsi="Arial" w:cs="Arial"/>
          <w:sz w:val="24"/>
          <w:szCs w:val="24"/>
        </w:rPr>
      </w:pPr>
      <w:r w:rsidRPr="00EE6F7F">
        <w:rPr>
          <w:rFonts w:ascii="Arial" w:hAnsi="Arial" w:cs="Arial"/>
          <w:sz w:val="24"/>
          <w:szCs w:val="24"/>
        </w:rPr>
        <w:t>Members have also voiced strong views on the recent focus by Government on development of brownfield sites and that lack of planning consent is a contributory factor.</w:t>
      </w:r>
    </w:p>
    <w:p w:rsidR="007F0156" w:rsidRDefault="007F0156" w:rsidP="00185048">
      <w:pPr>
        <w:ind w:left="1134" w:hanging="1134"/>
        <w:rPr>
          <w:rFonts w:ascii="Arial" w:hAnsi="Arial" w:cs="Arial"/>
          <w:sz w:val="24"/>
          <w:szCs w:val="24"/>
        </w:rPr>
      </w:pPr>
    </w:p>
    <w:p w:rsidR="007F0156" w:rsidRPr="00EE6F7F" w:rsidRDefault="007F0156" w:rsidP="00185048">
      <w:pPr>
        <w:pStyle w:val="ListParagraph"/>
        <w:numPr>
          <w:ilvl w:val="1"/>
          <w:numId w:val="17"/>
        </w:numPr>
        <w:ind w:left="1134" w:hanging="1134"/>
        <w:rPr>
          <w:rFonts w:ascii="Arial" w:hAnsi="Arial" w:cs="Arial"/>
          <w:sz w:val="24"/>
          <w:szCs w:val="24"/>
        </w:rPr>
      </w:pPr>
      <w:r w:rsidRPr="00EE6F7F">
        <w:rPr>
          <w:rFonts w:ascii="Arial" w:hAnsi="Arial" w:cs="Arial"/>
          <w:sz w:val="24"/>
          <w:szCs w:val="24"/>
        </w:rPr>
        <w:t xml:space="preserve">Members, particularly our members in the industrial </w:t>
      </w:r>
      <w:r w:rsidR="0061615C" w:rsidRPr="00EE6F7F">
        <w:rPr>
          <w:rFonts w:ascii="Arial" w:hAnsi="Arial" w:cs="Arial"/>
          <w:sz w:val="24"/>
          <w:szCs w:val="24"/>
        </w:rPr>
        <w:t>midlands, fee</w:t>
      </w:r>
      <w:r w:rsidRPr="00EE6F7F">
        <w:rPr>
          <w:rFonts w:ascii="Arial" w:hAnsi="Arial" w:cs="Arial"/>
          <w:sz w:val="24"/>
          <w:szCs w:val="24"/>
        </w:rPr>
        <w:t>l that these comments indicate a lack o</w:t>
      </w:r>
      <w:r w:rsidR="0061615C" w:rsidRPr="00EE6F7F">
        <w:rPr>
          <w:rFonts w:ascii="Arial" w:hAnsi="Arial" w:cs="Arial"/>
          <w:sz w:val="24"/>
          <w:szCs w:val="24"/>
        </w:rPr>
        <w:t>f understanding on the part of G</w:t>
      </w:r>
      <w:r w:rsidRPr="00EE6F7F">
        <w:rPr>
          <w:rFonts w:ascii="Arial" w:hAnsi="Arial" w:cs="Arial"/>
          <w:sz w:val="24"/>
          <w:szCs w:val="24"/>
        </w:rPr>
        <w:t>overnment</w:t>
      </w:r>
      <w:r w:rsidR="0061615C" w:rsidRPr="00EE6F7F">
        <w:rPr>
          <w:rFonts w:ascii="Arial" w:hAnsi="Arial" w:cs="Arial"/>
          <w:sz w:val="24"/>
          <w:szCs w:val="24"/>
        </w:rPr>
        <w:t xml:space="preserve"> in relation to brownfield site development</w:t>
      </w:r>
      <w:r w:rsidRPr="00EE6F7F">
        <w:rPr>
          <w:rFonts w:ascii="Arial" w:hAnsi="Arial" w:cs="Arial"/>
          <w:sz w:val="24"/>
          <w:szCs w:val="24"/>
        </w:rPr>
        <w:t>. The following suggestions have been made</w:t>
      </w:r>
      <w:r w:rsidR="0061615C" w:rsidRPr="00EE6F7F">
        <w:rPr>
          <w:rFonts w:ascii="Arial" w:hAnsi="Arial" w:cs="Arial"/>
          <w:sz w:val="24"/>
          <w:szCs w:val="24"/>
        </w:rPr>
        <w:t xml:space="preserve"> to hel</w:t>
      </w:r>
      <w:r w:rsidRPr="00EE6F7F">
        <w:rPr>
          <w:rFonts w:ascii="Arial" w:hAnsi="Arial" w:cs="Arial"/>
          <w:sz w:val="24"/>
          <w:szCs w:val="24"/>
        </w:rPr>
        <w:t>p address what we see as the main obstacles to brownfield site development:</w:t>
      </w:r>
    </w:p>
    <w:p w:rsidR="007F0156" w:rsidRDefault="007F0156" w:rsidP="00185048">
      <w:pPr>
        <w:ind w:left="1134" w:hanging="1134"/>
        <w:rPr>
          <w:rFonts w:ascii="Arial" w:hAnsi="Arial" w:cs="Arial"/>
          <w:sz w:val="24"/>
          <w:szCs w:val="24"/>
        </w:rPr>
      </w:pPr>
    </w:p>
    <w:p w:rsidR="007F0156" w:rsidRPr="0061615C" w:rsidRDefault="007F0156" w:rsidP="00185048">
      <w:pPr>
        <w:pStyle w:val="ListParagraph"/>
        <w:numPr>
          <w:ilvl w:val="1"/>
          <w:numId w:val="17"/>
        </w:numPr>
        <w:ind w:left="1134" w:hanging="1134"/>
        <w:rPr>
          <w:rFonts w:ascii="Arial" w:hAnsi="Arial" w:cs="Arial"/>
          <w:sz w:val="24"/>
          <w:szCs w:val="24"/>
        </w:rPr>
      </w:pPr>
      <w:r w:rsidRPr="0061615C">
        <w:rPr>
          <w:rFonts w:ascii="Arial" w:hAnsi="Arial" w:cs="Arial"/>
          <w:sz w:val="24"/>
          <w:szCs w:val="24"/>
        </w:rPr>
        <w:t>That authorities might be empowered to levy a rate on long term undeveloped brownfield sites</w:t>
      </w:r>
      <w:r w:rsidR="0061615C">
        <w:rPr>
          <w:rFonts w:ascii="Arial" w:hAnsi="Arial" w:cs="Arial"/>
          <w:sz w:val="24"/>
          <w:szCs w:val="24"/>
        </w:rPr>
        <w:t xml:space="preserve"> with no visible attempts at development by the owner</w:t>
      </w:r>
      <w:r w:rsidRPr="0061615C">
        <w:rPr>
          <w:rFonts w:ascii="Arial" w:hAnsi="Arial" w:cs="Arial"/>
          <w:sz w:val="24"/>
          <w:szCs w:val="24"/>
        </w:rPr>
        <w:t>.</w:t>
      </w:r>
    </w:p>
    <w:p w:rsidR="007F0156" w:rsidRDefault="007F0156" w:rsidP="00185048">
      <w:pPr>
        <w:ind w:left="1134" w:hanging="1134"/>
        <w:rPr>
          <w:rFonts w:ascii="Arial" w:hAnsi="Arial" w:cs="Arial"/>
          <w:sz w:val="24"/>
          <w:szCs w:val="24"/>
        </w:rPr>
      </w:pPr>
    </w:p>
    <w:p w:rsidR="007F0156" w:rsidRPr="0061615C" w:rsidRDefault="00D73187" w:rsidP="00185048">
      <w:pPr>
        <w:pStyle w:val="ListParagraph"/>
        <w:numPr>
          <w:ilvl w:val="1"/>
          <w:numId w:val="17"/>
        </w:numPr>
        <w:ind w:left="1134" w:hanging="1134"/>
        <w:rPr>
          <w:rFonts w:ascii="Arial" w:hAnsi="Arial" w:cs="Arial"/>
          <w:sz w:val="24"/>
          <w:szCs w:val="24"/>
        </w:rPr>
      </w:pPr>
      <w:r>
        <w:rPr>
          <w:rFonts w:ascii="Arial" w:hAnsi="Arial" w:cs="Arial"/>
          <w:sz w:val="24"/>
          <w:szCs w:val="24"/>
        </w:rPr>
        <w:t>That G</w:t>
      </w:r>
      <w:r w:rsidR="007F0156" w:rsidRPr="0061615C">
        <w:rPr>
          <w:rFonts w:ascii="Arial" w:hAnsi="Arial" w:cs="Arial"/>
          <w:sz w:val="24"/>
          <w:szCs w:val="24"/>
        </w:rPr>
        <w:t xml:space="preserve">overnment create a pot of </w:t>
      </w:r>
      <w:r w:rsidR="0061615C" w:rsidRPr="0061615C">
        <w:rPr>
          <w:rFonts w:ascii="Arial" w:hAnsi="Arial" w:cs="Arial"/>
          <w:sz w:val="24"/>
          <w:szCs w:val="24"/>
        </w:rPr>
        <w:t xml:space="preserve">development </w:t>
      </w:r>
      <w:r w:rsidR="007F0156" w:rsidRPr="0061615C">
        <w:rPr>
          <w:rFonts w:ascii="Arial" w:hAnsi="Arial" w:cs="Arial"/>
          <w:sz w:val="24"/>
          <w:szCs w:val="24"/>
        </w:rPr>
        <w:t>support for</w:t>
      </w:r>
      <w:r w:rsidR="0061615C" w:rsidRPr="0061615C">
        <w:rPr>
          <w:rFonts w:ascii="Arial" w:hAnsi="Arial" w:cs="Arial"/>
          <w:sz w:val="24"/>
          <w:szCs w:val="24"/>
        </w:rPr>
        <w:t xml:space="preserve"> the extremely high cost of rem</w:t>
      </w:r>
      <w:r>
        <w:rPr>
          <w:rFonts w:ascii="Arial" w:hAnsi="Arial" w:cs="Arial"/>
          <w:sz w:val="24"/>
          <w:szCs w:val="24"/>
        </w:rPr>
        <w:t>ediation in respect of brownfield</w:t>
      </w:r>
      <w:r w:rsidR="007F0156" w:rsidRPr="0061615C">
        <w:rPr>
          <w:rFonts w:ascii="Arial" w:hAnsi="Arial" w:cs="Arial"/>
          <w:sz w:val="24"/>
          <w:szCs w:val="24"/>
        </w:rPr>
        <w:t xml:space="preserve"> sites.</w:t>
      </w:r>
    </w:p>
    <w:p w:rsidR="00075C79" w:rsidRDefault="00075C79" w:rsidP="00185048">
      <w:pPr>
        <w:ind w:left="993" w:hanging="633"/>
        <w:rPr>
          <w:rFonts w:ascii="Arial" w:hAnsi="Arial" w:cs="Arial"/>
          <w:sz w:val="24"/>
          <w:szCs w:val="24"/>
        </w:rPr>
      </w:pPr>
    </w:p>
    <w:sectPr w:rsidR="00075C79" w:rsidSect="00EE6F7F">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3B6" w:rsidRDefault="00E533B6" w:rsidP="00E533B6">
      <w:r>
        <w:separator/>
      </w:r>
    </w:p>
  </w:endnote>
  <w:endnote w:type="continuationSeparator" w:id="0">
    <w:p w:rsidR="00E533B6" w:rsidRDefault="00E533B6" w:rsidP="00E5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11" w:rsidRDefault="00D03B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893666"/>
      <w:docPartObj>
        <w:docPartGallery w:val="Page Numbers (Bottom of Page)"/>
        <w:docPartUnique/>
      </w:docPartObj>
    </w:sdtPr>
    <w:sdtEndPr>
      <w:rPr>
        <w:color w:val="808080" w:themeColor="background1" w:themeShade="80"/>
        <w:spacing w:val="60"/>
      </w:rPr>
    </w:sdtEndPr>
    <w:sdtContent>
      <w:p w:rsidR="00DC1A9D" w:rsidRDefault="00DC1A9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61597" w:rsidRPr="00561597">
          <w:rPr>
            <w:b/>
            <w:bCs/>
            <w:noProof/>
          </w:rPr>
          <w:t>3</w:t>
        </w:r>
        <w:r>
          <w:rPr>
            <w:b/>
            <w:bCs/>
            <w:noProof/>
          </w:rPr>
          <w:fldChar w:fldCharType="end"/>
        </w:r>
        <w:r>
          <w:rPr>
            <w:b/>
            <w:bCs/>
          </w:rPr>
          <w:t xml:space="preserve"> | </w:t>
        </w:r>
        <w:r>
          <w:rPr>
            <w:color w:val="808080" w:themeColor="background1" w:themeShade="80"/>
            <w:spacing w:val="60"/>
          </w:rPr>
          <w:t>Page</w:t>
        </w:r>
      </w:p>
    </w:sdtContent>
  </w:sdt>
  <w:p w:rsidR="00DC1A9D" w:rsidRDefault="00DC1A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11" w:rsidRDefault="00D03B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3B6" w:rsidRDefault="00E533B6" w:rsidP="00E533B6">
      <w:r>
        <w:separator/>
      </w:r>
    </w:p>
  </w:footnote>
  <w:footnote w:type="continuationSeparator" w:id="0">
    <w:p w:rsidR="00E533B6" w:rsidRDefault="00E533B6" w:rsidP="00E533B6">
      <w:r>
        <w:continuationSeparator/>
      </w:r>
    </w:p>
  </w:footnote>
  <w:footnote w:id="1">
    <w:p w:rsidR="00E533B6" w:rsidRDefault="00E533B6">
      <w:pPr>
        <w:pStyle w:val="FootnoteText"/>
      </w:pPr>
      <w:r>
        <w:rPr>
          <w:rStyle w:val="FootnoteReference"/>
        </w:rPr>
        <w:footnoteRef/>
      </w:r>
      <w:r>
        <w:t xml:space="preserve"> Non domestic rating income for 2014-15 from DCLG drop down table data.</w:t>
      </w:r>
    </w:p>
  </w:footnote>
  <w:footnote w:id="2">
    <w:p w:rsidR="00A30B43" w:rsidRDefault="00A30B43">
      <w:pPr>
        <w:pStyle w:val="FootnoteText"/>
      </w:pPr>
      <w:r>
        <w:rPr>
          <w:rStyle w:val="FootnoteReference"/>
        </w:rPr>
        <w:footnoteRef/>
      </w:r>
      <w:r>
        <w:t xml:space="preserve"> Index of Multiple Deprivation 2015. Department for Communities and Local Government</w:t>
      </w:r>
      <w:r w:rsidR="0028003D">
        <w:t xml:space="preserve"> upper</w:t>
      </w:r>
      <w:r w:rsidR="008B77E1">
        <w:t xml:space="preserve"> tier local authority summaries-</w:t>
      </w:r>
      <w:r w:rsidR="008B77E1" w:rsidRPr="008B77E1">
        <w:t xml:space="preserve"> </w:t>
      </w:r>
      <w:r w:rsidR="008B77E1">
        <w:t>rank of average score</w:t>
      </w:r>
    </w:p>
  </w:footnote>
  <w:footnote w:id="3">
    <w:p w:rsidR="00A30B43" w:rsidRDefault="00A30B43">
      <w:pPr>
        <w:pStyle w:val="FootnoteText"/>
      </w:pPr>
      <w:r>
        <w:rPr>
          <w:rStyle w:val="FootnoteReference"/>
        </w:rPr>
        <w:footnoteRef/>
      </w:r>
      <w:r>
        <w:t xml:space="preserve"> Average of </w:t>
      </w:r>
      <w:r w:rsidR="0028003D">
        <w:t>IMD average scores</w:t>
      </w:r>
      <w:r w:rsidR="003073FD">
        <w:t>,</w:t>
      </w:r>
      <w:r w:rsidR="0028003D">
        <w:t xml:space="preserve"> where highest score = most deprived</w:t>
      </w:r>
    </w:p>
  </w:footnote>
  <w:footnote w:id="4">
    <w:p w:rsidR="000335B2" w:rsidRDefault="000335B2">
      <w:pPr>
        <w:pStyle w:val="FootnoteText"/>
      </w:pPr>
      <w:r>
        <w:rPr>
          <w:rStyle w:val="FootnoteReference"/>
        </w:rPr>
        <w:footnoteRef/>
      </w:r>
      <w:r>
        <w:t xml:space="preserve"> Main elements are Settlement Funding, Council Tax, New Homes Bonus and in later years the improved better care fund.</w:t>
      </w:r>
    </w:p>
  </w:footnote>
  <w:footnote w:id="5">
    <w:p w:rsidR="009347E6" w:rsidRPr="000A63B2" w:rsidRDefault="009347E6">
      <w:pPr>
        <w:pStyle w:val="FootnoteText"/>
        <w:rPr>
          <w:rFonts w:ascii="Arial" w:hAnsi="Arial" w:cs="Arial"/>
        </w:rPr>
      </w:pPr>
      <w:r w:rsidRPr="000A63B2">
        <w:rPr>
          <w:rStyle w:val="FootnoteReference"/>
          <w:rFonts w:ascii="Arial" w:hAnsi="Arial" w:cs="Arial"/>
        </w:rPr>
        <w:footnoteRef/>
      </w:r>
      <w:r w:rsidRPr="000A63B2">
        <w:rPr>
          <w:rFonts w:ascii="Arial" w:hAnsi="Arial" w:cs="Arial"/>
        </w:rPr>
        <w:t xml:space="preserve"> We suggest estimate rather than outturn since it is upon estimates that the revenue financing of authorities is fixed.</w:t>
      </w:r>
    </w:p>
  </w:footnote>
  <w:footnote w:id="6">
    <w:p w:rsidR="00A620B7" w:rsidRDefault="00A620B7">
      <w:pPr>
        <w:pStyle w:val="FootnoteText"/>
      </w:pPr>
      <w:r>
        <w:rPr>
          <w:rStyle w:val="FootnoteReference"/>
        </w:rPr>
        <w:footnoteRef/>
      </w:r>
      <w:r w:rsidR="005F3CCF">
        <w:t xml:space="preserve"> </w:t>
      </w:r>
      <w:r>
        <w:t xml:space="preserve"> </w:t>
      </w:r>
      <w:r w:rsidR="005F3CCF" w:rsidRPr="000A63B2">
        <w:rPr>
          <w:rFonts w:ascii="Arial" w:hAnsi="Arial" w:cs="Arial"/>
        </w:rPr>
        <w:t xml:space="preserve">Data prepared by </w:t>
      </w:r>
      <w:r w:rsidRPr="000A63B2">
        <w:rPr>
          <w:rFonts w:ascii="Arial" w:hAnsi="Arial" w:cs="Arial"/>
        </w:rPr>
        <w:t xml:space="preserve">Sarah Sawyer </w:t>
      </w:r>
      <w:r w:rsidR="005F3CCF" w:rsidRPr="000A63B2">
        <w:rPr>
          <w:rFonts w:ascii="Arial" w:hAnsi="Arial" w:cs="Arial"/>
        </w:rPr>
        <w:t xml:space="preserve">of </w:t>
      </w:r>
      <w:r w:rsidRPr="000A63B2">
        <w:rPr>
          <w:rFonts w:ascii="Arial" w:hAnsi="Arial" w:cs="Arial"/>
        </w:rPr>
        <w:t>the Valuation Office Agency.</w:t>
      </w:r>
    </w:p>
  </w:footnote>
  <w:footnote w:id="7">
    <w:p w:rsidR="008E5FAF" w:rsidRDefault="008E5FAF">
      <w:pPr>
        <w:pStyle w:val="FootnoteText"/>
      </w:pPr>
      <w:r>
        <w:rPr>
          <w:rStyle w:val="FootnoteReference"/>
        </w:rPr>
        <w:footnoteRef/>
      </w:r>
      <w:r>
        <w:t xml:space="preserve"> </w:t>
      </w:r>
      <w:r w:rsidRPr="000A63B2">
        <w:rPr>
          <w:rFonts w:ascii="Arial" w:hAnsi="Arial" w:cs="Arial"/>
        </w:rPr>
        <w:t>Future Funding Outlook for councils 2019/20 LGA June 2015</w:t>
      </w:r>
      <w:r w:rsidR="000B366B">
        <w:rPr>
          <w:rFonts w:ascii="Arial" w:hAnsi="Arial" w:cs="Arial"/>
        </w:rPr>
        <w:t xml:space="preserve"> (chart key corrected from the original)</w:t>
      </w:r>
    </w:p>
  </w:footnote>
  <w:footnote w:id="8">
    <w:p w:rsidR="000F31A5" w:rsidRDefault="000F31A5">
      <w:pPr>
        <w:pStyle w:val="FootnoteText"/>
      </w:pPr>
      <w:r>
        <w:rPr>
          <w:rStyle w:val="FootnoteReference"/>
        </w:rPr>
        <w:footnoteRef/>
      </w:r>
      <w:r>
        <w:t xml:space="preserve"> Financial Sustainability of Local Authorities 2014 November 2014 the NAA</w:t>
      </w:r>
    </w:p>
  </w:footnote>
  <w:footnote w:id="9">
    <w:p w:rsidR="0084793F" w:rsidRDefault="0084793F">
      <w:pPr>
        <w:pStyle w:val="FootnoteText"/>
      </w:pPr>
      <w:r>
        <w:rPr>
          <w:rStyle w:val="FootnoteReference"/>
        </w:rPr>
        <w:footnoteRef/>
      </w:r>
      <w:r>
        <w:t xml:space="preserve"> </w:t>
      </w:r>
      <w:r w:rsidR="00122DA6">
        <w:t>Calculated by SIGOMA using</w:t>
      </w:r>
      <w:r>
        <w:t xml:space="preserve"> DCLG Core Spending Power Supporting Information Tables 20</w:t>
      </w:r>
      <w:r w:rsidR="00122DA6">
        <w:t>16/17-2019/20</w:t>
      </w:r>
    </w:p>
  </w:footnote>
  <w:footnote w:id="10">
    <w:p w:rsidR="00A41B0C" w:rsidRDefault="00A41B0C">
      <w:pPr>
        <w:pStyle w:val="FootnoteText"/>
      </w:pPr>
      <w:r>
        <w:rPr>
          <w:rStyle w:val="FootnoteReference"/>
        </w:rPr>
        <w:footnoteRef/>
      </w:r>
      <w:r>
        <w:t xml:space="preserve"> Source: Calculated by SIGOMA using  2013 NNDR3 drop down lists published by DCLG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11" w:rsidRDefault="00D03B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11" w:rsidRDefault="00D03B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11" w:rsidRDefault="00D03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67_"/>
      </v:shape>
    </w:pict>
  </w:numPicBullet>
  <w:numPicBullet w:numPicBulletId="1">
    <w:pict>
      <v:shape id="_x0000_i1027" type="#_x0000_t75" style="width:9pt;height:9pt" o:bullet="t">
        <v:imagedata r:id="rId2" o:title="BD14754_"/>
      </v:shape>
    </w:pict>
  </w:numPicBullet>
  <w:numPicBullet w:numPicBulletId="2">
    <w:pict>
      <v:shape id="_x0000_i1028" type="#_x0000_t75" style="width:9pt;height:9pt" o:bullet="t">
        <v:imagedata r:id="rId3" o:title="BD15276_"/>
      </v:shape>
    </w:pict>
  </w:numPicBullet>
  <w:numPicBullet w:numPicBulletId="3">
    <w:pict>
      <v:shape id="_x0000_i1029" type="#_x0000_t75" style="width:9pt;height:9pt" o:bullet="t">
        <v:imagedata r:id="rId4" o:title="BD14756_"/>
      </v:shape>
    </w:pict>
  </w:numPicBullet>
  <w:numPicBullet w:numPicBulletId="4">
    <w:pict>
      <v:shape id="_x0000_i1030" type="#_x0000_t75" style="width:9pt;height:9pt" o:bullet="t">
        <v:imagedata r:id="rId5" o:title="BD14984_"/>
      </v:shape>
    </w:pict>
  </w:numPicBullet>
  <w:abstractNum w:abstractNumId="0">
    <w:nsid w:val="0AAC19AF"/>
    <w:multiLevelType w:val="hybridMultilevel"/>
    <w:tmpl w:val="0C9E6066"/>
    <w:lvl w:ilvl="0" w:tplc="054EED4C">
      <w:start w:val="1"/>
      <w:numFmt w:val="bullet"/>
      <w:lvlText w:val=""/>
      <w:lvlPicBulletId w:val="2"/>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583EA7"/>
    <w:multiLevelType w:val="hybridMultilevel"/>
    <w:tmpl w:val="9C48F08E"/>
    <w:lvl w:ilvl="0" w:tplc="054EED4C">
      <w:start w:val="1"/>
      <w:numFmt w:val="bullet"/>
      <w:lvlText w:val=""/>
      <w:lvlPicBulletId w:val="2"/>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E974BD"/>
    <w:multiLevelType w:val="multilevel"/>
    <w:tmpl w:val="5BAC2BB0"/>
    <w:lvl w:ilvl="0">
      <w:start w:val="1"/>
      <w:numFmt w:val="bullet"/>
      <w:lvlText w:val=""/>
      <w:lvlPicBulletId w:val="2"/>
      <w:lvlJc w:val="left"/>
      <w:pPr>
        <w:ind w:left="720" w:hanging="360"/>
      </w:pPr>
      <w:rPr>
        <w:rFonts w:ascii="Symbol" w:hAnsi="Symbol" w:hint="default"/>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nsid w:val="14192B76"/>
    <w:multiLevelType w:val="multilevel"/>
    <w:tmpl w:val="2A84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227520"/>
    <w:multiLevelType w:val="multilevel"/>
    <w:tmpl w:val="5BAC2BB0"/>
    <w:lvl w:ilvl="0">
      <w:start w:val="1"/>
      <w:numFmt w:val="bullet"/>
      <w:lvlText w:val=""/>
      <w:lvlPicBulletId w:val="2"/>
      <w:lvlJc w:val="left"/>
      <w:pPr>
        <w:ind w:left="720" w:hanging="360"/>
      </w:pPr>
      <w:rPr>
        <w:rFonts w:ascii="Symbol" w:hAnsi="Symbol" w:hint="default"/>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1B68288F"/>
    <w:multiLevelType w:val="hybridMultilevel"/>
    <w:tmpl w:val="6E506612"/>
    <w:lvl w:ilvl="0" w:tplc="21B6970A">
      <w:start w:val="1"/>
      <w:numFmt w:val="bullet"/>
      <w:lvlText w:val=""/>
      <w:lvlPicBulletId w:val="1"/>
      <w:lvlJc w:val="left"/>
      <w:pPr>
        <w:ind w:left="1080" w:hanging="360"/>
      </w:pPr>
      <w:rPr>
        <w:rFonts w:ascii="Symbol" w:hAnsi="Symbol" w:hint="default"/>
        <w:color w:val="auto"/>
      </w:rPr>
    </w:lvl>
    <w:lvl w:ilvl="1" w:tplc="054EED4C">
      <w:start w:val="1"/>
      <w:numFmt w:val="bullet"/>
      <w:lvlText w:val=""/>
      <w:lvlPicBulletId w:val="2"/>
      <w:lvlJc w:val="left"/>
      <w:pPr>
        <w:ind w:left="1800" w:hanging="360"/>
      </w:pPr>
      <w:rPr>
        <w:rFonts w:ascii="Symbol" w:hAnsi="Symbol" w:hint="default"/>
        <w:color w:val="auto"/>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DB65E37"/>
    <w:multiLevelType w:val="hybridMultilevel"/>
    <w:tmpl w:val="7ACC5946"/>
    <w:lvl w:ilvl="0" w:tplc="67CA42B8">
      <w:start w:val="1"/>
      <w:numFmt w:val="bullet"/>
      <w:lvlText w:val=""/>
      <w:lvlPicBulletId w:val="4"/>
      <w:lvlJc w:val="left"/>
      <w:pPr>
        <w:ind w:left="1080" w:hanging="360"/>
      </w:pPr>
      <w:rPr>
        <w:rFonts w:ascii="Symbol" w:hAnsi="Symbol" w:hint="default"/>
        <w:color w:val="auto"/>
      </w:rPr>
    </w:lvl>
    <w:lvl w:ilvl="1" w:tplc="054EED4C">
      <w:start w:val="1"/>
      <w:numFmt w:val="bullet"/>
      <w:lvlText w:val=""/>
      <w:lvlPicBulletId w:val="2"/>
      <w:lvlJc w:val="left"/>
      <w:pPr>
        <w:ind w:left="1800" w:hanging="360"/>
      </w:pPr>
      <w:rPr>
        <w:rFonts w:ascii="Symbol" w:hAnsi="Symbol" w:hint="default"/>
        <w:color w:val="auto"/>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EE67240"/>
    <w:multiLevelType w:val="hybridMultilevel"/>
    <w:tmpl w:val="7DAEFCF0"/>
    <w:lvl w:ilvl="0" w:tplc="054EED4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0F59AF"/>
    <w:multiLevelType w:val="multilevel"/>
    <w:tmpl w:val="D2B63B82"/>
    <w:lvl w:ilvl="0">
      <w:start w:val="1"/>
      <w:numFmt w:val="bullet"/>
      <w:lvlText w:val=""/>
      <w:lvlPicBulletId w:val="2"/>
      <w:lvlJc w:val="left"/>
      <w:pPr>
        <w:ind w:left="720" w:hanging="360"/>
      </w:pPr>
      <w:rPr>
        <w:rFonts w:ascii="Symbol" w:hAnsi="Symbol" w:hint="default"/>
        <w:color w:val="auto"/>
      </w:rPr>
    </w:lvl>
    <w:lvl w:ilvl="1">
      <w:start w:val="1"/>
      <w:numFmt w:val="bullet"/>
      <w:lvlText w:val=""/>
      <w:lvlPicBulletId w:val="2"/>
      <w:lvlJc w:val="left"/>
      <w:pPr>
        <w:ind w:left="1152" w:hanging="432"/>
      </w:pPr>
      <w:rPr>
        <w:rFonts w:ascii="Symbol" w:hAnsi="Symbol" w:hint="default"/>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nsid w:val="3E53371E"/>
    <w:multiLevelType w:val="hybridMultilevel"/>
    <w:tmpl w:val="5B621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0222A29"/>
    <w:multiLevelType w:val="multilevel"/>
    <w:tmpl w:val="2730C794"/>
    <w:lvl w:ilvl="0">
      <w:start w:val="1"/>
      <w:numFmt w:val="bullet"/>
      <w:lvlText w:val=""/>
      <w:lvlPicBulletId w:val="2"/>
      <w:lvlJc w:val="left"/>
      <w:pPr>
        <w:ind w:left="720" w:hanging="360"/>
      </w:pPr>
      <w:rPr>
        <w:rFonts w:ascii="Symbol" w:hAnsi="Symbol" w:hint="default"/>
        <w:color w:val="auto"/>
      </w:rPr>
    </w:lvl>
    <w:lvl w:ilvl="1">
      <w:start w:val="1"/>
      <w:numFmt w:val="bullet"/>
      <w:lvlText w:val=""/>
      <w:lvlPicBulletId w:val="2"/>
      <w:lvlJc w:val="left"/>
      <w:pPr>
        <w:ind w:left="1152" w:hanging="432"/>
      </w:pPr>
      <w:rPr>
        <w:rFonts w:ascii="Symbol" w:hAnsi="Symbol" w:hint="default"/>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nsid w:val="41D41A3C"/>
    <w:multiLevelType w:val="multilevel"/>
    <w:tmpl w:val="0809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21C6488"/>
    <w:multiLevelType w:val="hybridMultilevel"/>
    <w:tmpl w:val="26B693E0"/>
    <w:lvl w:ilvl="0" w:tplc="21B6970A">
      <w:start w:val="1"/>
      <w:numFmt w:val="bullet"/>
      <w:lvlText w:val=""/>
      <w:lvlPicBulletId w:val="1"/>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0649A0"/>
    <w:multiLevelType w:val="hybridMultilevel"/>
    <w:tmpl w:val="9D94E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453B31"/>
    <w:multiLevelType w:val="multilevel"/>
    <w:tmpl w:val="5BAC2BB0"/>
    <w:lvl w:ilvl="0">
      <w:start w:val="1"/>
      <w:numFmt w:val="bullet"/>
      <w:lvlText w:val=""/>
      <w:lvlPicBulletId w:val="2"/>
      <w:lvlJc w:val="left"/>
      <w:pPr>
        <w:ind w:left="720" w:hanging="360"/>
      </w:pPr>
      <w:rPr>
        <w:rFonts w:ascii="Symbol" w:hAnsi="Symbol" w:hint="default"/>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nsid w:val="4AC65D8A"/>
    <w:multiLevelType w:val="hybridMultilevel"/>
    <w:tmpl w:val="948E8A58"/>
    <w:lvl w:ilvl="0" w:tplc="054EED4C">
      <w:start w:val="1"/>
      <w:numFmt w:val="bullet"/>
      <w:lvlText w:val=""/>
      <w:lvlPicBulletId w:val="2"/>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15A2A1F"/>
    <w:multiLevelType w:val="hybridMultilevel"/>
    <w:tmpl w:val="676CF240"/>
    <w:lvl w:ilvl="0" w:tplc="21B6970A">
      <w:start w:val="1"/>
      <w:numFmt w:val="bullet"/>
      <w:lvlText w:val=""/>
      <w:lvlPicBulletId w:val="1"/>
      <w:lvlJc w:val="left"/>
      <w:pPr>
        <w:ind w:left="720" w:hanging="360"/>
      </w:pPr>
      <w:rPr>
        <w:rFonts w:ascii="Symbol" w:hAnsi="Symbol" w:hint="default"/>
        <w:color w:val="auto"/>
      </w:rPr>
    </w:lvl>
    <w:lvl w:ilvl="1" w:tplc="21B6970A">
      <w:start w:val="1"/>
      <w:numFmt w:val="bullet"/>
      <w:lvlText w:val=""/>
      <w:lvlPicBulletId w:val="1"/>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7C0227C"/>
    <w:multiLevelType w:val="hybridMultilevel"/>
    <w:tmpl w:val="5AA6EE7A"/>
    <w:lvl w:ilvl="0" w:tplc="054EED4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57215A"/>
    <w:multiLevelType w:val="hybridMultilevel"/>
    <w:tmpl w:val="63505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D6C517C"/>
    <w:multiLevelType w:val="hybridMultilevel"/>
    <w:tmpl w:val="A9B4F5CE"/>
    <w:lvl w:ilvl="0" w:tplc="21B6970A">
      <w:start w:val="1"/>
      <w:numFmt w:val="bullet"/>
      <w:lvlText w:val=""/>
      <w:lvlPicBulletId w:val="1"/>
      <w:lvlJc w:val="left"/>
      <w:pPr>
        <w:ind w:left="720" w:hanging="360"/>
      </w:pPr>
      <w:rPr>
        <w:rFonts w:ascii="Symbol" w:hAnsi="Symbol" w:hint="default"/>
        <w:color w:val="auto"/>
      </w:rPr>
    </w:lvl>
    <w:lvl w:ilvl="1" w:tplc="054EED4C">
      <w:start w:val="1"/>
      <w:numFmt w:val="bullet"/>
      <w:lvlText w:val=""/>
      <w:lvlPicBulletId w:val="2"/>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08046CD"/>
    <w:multiLevelType w:val="hybridMultilevel"/>
    <w:tmpl w:val="B39E4BB8"/>
    <w:lvl w:ilvl="0" w:tplc="054EED4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774FAC"/>
    <w:multiLevelType w:val="hybridMultilevel"/>
    <w:tmpl w:val="6FA0E230"/>
    <w:lvl w:ilvl="0" w:tplc="054EED4C">
      <w:start w:val="1"/>
      <w:numFmt w:val="bullet"/>
      <w:lvlText w:val=""/>
      <w:lvlPicBulletId w:val="2"/>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B6E3907"/>
    <w:multiLevelType w:val="hybridMultilevel"/>
    <w:tmpl w:val="111A922C"/>
    <w:lvl w:ilvl="0" w:tplc="097A0E88">
      <w:start w:val="1"/>
      <w:numFmt w:val="bullet"/>
      <w:lvlText w:val=""/>
      <w:lvlPicBulletId w:val="3"/>
      <w:lvlJc w:val="left"/>
      <w:pPr>
        <w:ind w:left="1080" w:hanging="360"/>
      </w:pPr>
      <w:rPr>
        <w:rFonts w:ascii="Symbol" w:hAnsi="Symbol" w:hint="default"/>
        <w:color w:val="auto"/>
      </w:rPr>
    </w:lvl>
    <w:lvl w:ilvl="1" w:tplc="054EED4C">
      <w:start w:val="1"/>
      <w:numFmt w:val="bullet"/>
      <w:lvlText w:val=""/>
      <w:lvlPicBulletId w:val="2"/>
      <w:lvlJc w:val="left"/>
      <w:pPr>
        <w:ind w:left="1800" w:hanging="360"/>
      </w:pPr>
      <w:rPr>
        <w:rFonts w:ascii="Symbol" w:hAnsi="Symbol" w:hint="default"/>
        <w:color w:val="auto"/>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6F293C6A"/>
    <w:multiLevelType w:val="hybridMultilevel"/>
    <w:tmpl w:val="C8B8E352"/>
    <w:lvl w:ilvl="0" w:tplc="F1D29EA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F432462"/>
    <w:multiLevelType w:val="multilevel"/>
    <w:tmpl w:val="5BAC2BB0"/>
    <w:lvl w:ilvl="0">
      <w:start w:val="1"/>
      <w:numFmt w:val="bullet"/>
      <w:lvlText w:val=""/>
      <w:lvlPicBulletId w:val="2"/>
      <w:lvlJc w:val="left"/>
      <w:pPr>
        <w:ind w:left="720" w:hanging="360"/>
      </w:pPr>
      <w:rPr>
        <w:rFonts w:ascii="Symbol" w:hAnsi="Symbol" w:hint="default"/>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6FE04464"/>
    <w:multiLevelType w:val="hybridMultilevel"/>
    <w:tmpl w:val="E2C0A250"/>
    <w:lvl w:ilvl="0" w:tplc="054EED4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41A6C34"/>
    <w:multiLevelType w:val="hybridMultilevel"/>
    <w:tmpl w:val="97A4FB96"/>
    <w:lvl w:ilvl="0" w:tplc="054EED4C">
      <w:start w:val="1"/>
      <w:numFmt w:val="bullet"/>
      <w:lvlText w:val=""/>
      <w:lvlPicBulletId w:val="2"/>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7082EA2"/>
    <w:multiLevelType w:val="multilevel"/>
    <w:tmpl w:val="5BAC2BB0"/>
    <w:lvl w:ilvl="0">
      <w:start w:val="1"/>
      <w:numFmt w:val="bullet"/>
      <w:lvlText w:val=""/>
      <w:lvlPicBulletId w:val="2"/>
      <w:lvlJc w:val="left"/>
      <w:pPr>
        <w:ind w:left="720" w:hanging="360"/>
      </w:pPr>
      <w:rPr>
        <w:rFonts w:ascii="Symbol" w:hAnsi="Symbol" w:hint="default"/>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3"/>
  </w:num>
  <w:num w:numId="2">
    <w:abstractNumId w:val="13"/>
  </w:num>
  <w:num w:numId="3">
    <w:abstractNumId w:val="18"/>
  </w:num>
  <w:num w:numId="4">
    <w:abstractNumId w:val="23"/>
  </w:num>
  <w:num w:numId="5">
    <w:abstractNumId w:val="12"/>
  </w:num>
  <w:num w:numId="6">
    <w:abstractNumId w:val="19"/>
  </w:num>
  <w:num w:numId="7">
    <w:abstractNumId w:val="0"/>
  </w:num>
  <w:num w:numId="8">
    <w:abstractNumId w:val="16"/>
  </w:num>
  <w:num w:numId="9">
    <w:abstractNumId w:val="9"/>
  </w:num>
  <w:num w:numId="10">
    <w:abstractNumId w:val="17"/>
  </w:num>
  <w:num w:numId="11">
    <w:abstractNumId w:val="20"/>
  </w:num>
  <w:num w:numId="12">
    <w:abstractNumId w:val="5"/>
  </w:num>
  <w:num w:numId="13">
    <w:abstractNumId w:val="22"/>
  </w:num>
  <w:num w:numId="14">
    <w:abstractNumId w:val="6"/>
  </w:num>
  <w:num w:numId="15">
    <w:abstractNumId w:val="7"/>
  </w:num>
  <w:num w:numId="16">
    <w:abstractNumId w:val="25"/>
  </w:num>
  <w:num w:numId="17">
    <w:abstractNumId w:val="11"/>
  </w:num>
  <w:num w:numId="18">
    <w:abstractNumId w:val="4"/>
  </w:num>
  <w:num w:numId="19">
    <w:abstractNumId w:val="24"/>
  </w:num>
  <w:num w:numId="20">
    <w:abstractNumId w:val="14"/>
  </w:num>
  <w:num w:numId="21">
    <w:abstractNumId w:val="27"/>
  </w:num>
  <w:num w:numId="22">
    <w:abstractNumId w:val="2"/>
  </w:num>
  <w:num w:numId="23">
    <w:abstractNumId w:val="21"/>
  </w:num>
  <w:num w:numId="24">
    <w:abstractNumId w:val="8"/>
  </w:num>
  <w:num w:numId="25">
    <w:abstractNumId w:val="10"/>
  </w:num>
  <w:num w:numId="26">
    <w:abstractNumId w:val="26"/>
  </w:num>
  <w:num w:numId="27">
    <w:abstractNumId w:val="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80"/>
    <w:rsid w:val="00025029"/>
    <w:rsid w:val="00027B3C"/>
    <w:rsid w:val="000335B2"/>
    <w:rsid w:val="00035EDD"/>
    <w:rsid w:val="00075C79"/>
    <w:rsid w:val="000867A7"/>
    <w:rsid w:val="000A63B2"/>
    <w:rsid w:val="000B366B"/>
    <w:rsid w:val="000B50CB"/>
    <w:rsid w:val="000F31A5"/>
    <w:rsid w:val="00122DA6"/>
    <w:rsid w:val="00130022"/>
    <w:rsid w:val="001546AD"/>
    <w:rsid w:val="001836D3"/>
    <w:rsid w:val="00185048"/>
    <w:rsid w:val="00241421"/>
    <w:rsid w:val="0028003D"/>
    <w:rsid w:val="00295AF2"/>
    <w:rsid w:val="00296496"/>
    <w:rsid w:val="002B76F7"/>
    <w:rsid w:val="003073FD"/>
    <w:rsid w:val="003B51AF"/>
    <w:rsid w:val="003E1842"/>
    <w:rsid w:val="003E58FB"/>
    <w:rsid w:val="004636CA"/>
    <w:rsid w:val="004C1F15"/>
    <w:rsid w:val="00512224"/>
    <w:rsid w:val="00561597"/>
    <w:rsid w:val="005F3CCF"/>
    <w:rsid w:val="0061615C"/>
    <w:rsid w:val="006437D1"/>
    <w:rsid w:val="0065452A"/>
    <w:rsid w:val="006775F4"/>
    <w:rsid w:val="00687500"/>
    <w:rsid w:val="00694D7D"/>
    <w:rsid w:val="006A69A1"/>
    <w:rsid w:val="006C0B6D"/>
    <w:rsid w:val="006C3071"/>
    <w:rsid w:val="00744FC5"/>
    <w:rsid w:val="007725D9"/>
    <w:rsid w:val="007C6A7E"/>
    <w:rsid w:val="007D5EE4"/>
    <w:rsid w:val="007F0156"/>
    <w:rsid w:val="00816358"/>
    <w:rsid w:val="008271CF"/>
    <w:rsid w:val="0084793F"/>
    <w:rsid w:val="008602C3"/>
    <w:rsid w:val="008A4CF5"/>
    <w:rsid w:val="008B261E"/>
    <w:rsid w:val="008B77E1"/>
    <w:rsid w:val="008B7C19"/>
    <w:rsid w:val="008E5FAF"/>
    <w:rsid w:val="009347E6"/>
    <w:rsid w:val="009819EC"/>
    <w:rsid w:val="009A7667"/>
    <w:rsid w:val="00A30B43"/>
    <w:rsid w:val="00A41B0C"/>
    <w:rsid w:val="00A620B7"/>
    <w:rsid w:val="00AD44D9"/>
    <w:rsid w:val="00AE0CC1"/>
    <w:rsid w:val="00AF01FE"/>
    <w:rsid w:val="00B1344A"/>
    <w:rsid w:val="00BF0451"/>
    <w:rsid w:val="00C33680"/>
    <w:rsid w:val="00C560F7"/>
    <w:rsid w:val="00C84096"/>
    <w:rsid w:val="00C90912"/>
    <w:rsid w:val="00CB5C90"/>
    <w:rsid w:val="00CF4F33"/>
    <w:rsid w:val="00D03B11"/>
    <w:rsid w:val="00D50FCB"/>
    <w:rsid w:val="00D56085"/>
    <w:rsid w:val="00D73187"/>
    <w:rsid w:val="00D829BA"/>
    <w:rsid w:val="00DC1A9D"/>
    <w:rsid w:val="00DC3024"/>
    <w:rsid w:val="00E15AAD"/>
    <w:rsid w:val="00E23AFD"/>
    <w:rsid w:val="00E533B6"/>
    <w:rsid w:val="00E6401B"/>
    <w:rsid w:val="00EE6F7F"/>
    <w:rsid w:val="00EF6A9C"/>
    <w:rsid w:val="00F00686"/>
    <w:rsid w:val="00FE4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3680"/>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uiPriority w:val="99"/>
    <w:unhideWhenUsed/>
    <w:rsid w:val="00C560F7"/>
    <w:rPr>
      <w:color w:val="0000FF"/>
      <w:u w:val="single"/>
    </w:rPr>
  </w:style>
  <w:style w:type="paragraph" w:styleId="BodyText3">
    <w:name w:val="Body Text 3"/>
    <w:basedOn w:val="Normal"/>
    <w:link w:val="BodyText3Char"/>
    <w:rsid w:val="00C560F7"/>
    <w:pPr>
      <w:overflowPunct w:val="0"/>
      <w:autoSpaceDE w:val="0"/>
      <w:autoSpaceDN w:val="0"/>
      <w:adjustRightInd w:val="0"/>
      <w:textAlignment w:val="baseline"/>
    </w:pPr>
    <w:rPr>
      <w:rFonts w:ascii="Times New Roman" w:eastAsia="Times New Roman" w:hAnsi="Times New Roman" w:cs="Times New Roman"/>
      <w:b/>
      <w:i/>
      <w:sz w:val="24"/>
      <w:szCs w:val="20"/>
      <w:lang w:val="en-US"/>
    </w:rPr>
  </w:style>
  <w:style w:type="character" w:customStyle="1" w:styleId="BodyText3Char">
    <w:name w:val="Body Text 3 Char"/>
    <w:basedOn w:val="DefaultParagraphFont"/>
    <w:link w:val="BodyText3"/>
    <w:rsid w:val="00C560F7"/>
    <w:rPr>
      <w:rFonts w:ascii="Times New Roman" w:eastAsia="Times New Roman" w:hAnsi="Times New Roman" w:cs="Times New Roman"/>
      <w:b/>
      <w:i/>
      <w:sz w:val="24"/>
      <w:szCs w:val="20"/>
      <w:lang w:val="en-US"/>
    </w:rPr>
  </w:style>
  <w:style w:type="paragraph" w:styleId="FootnoteText">
    <w:name w:val="footnote text"/>
    <w:basedOn w:val="Normal"/>
    <w:link w:val="FootnoteTextChar"/>
    <w:uiPriority w:val="99"/>
    <w:semiHidden/>
    <w:unhideWhenUsed/>
    <w:rsid w:val="00E533B6"/>
    <w:rPr>
      <w:sz w:val="20"/>
      <w:szCs w:val="20"/>
    </w:rPr>
  </w:style>
  <w:style w:type="character" w:customStyle="1" w:styleId="FootnoteTextChar">
    <w:name w:val="Footnote Text Char"/>
    <w:basedOn w:val="DefaultParagraphFont"/>
    <w:link w:val="FootnoteText"/>
    <w:uiPriority w:val="99"/>
    <w:semiHidden/>
    <w:rsid w:val="00E533B6"/>
    <w:rPr>
      <w:sz w:val="20"/>
      <w:szCs w:val="20"/>
    </w:rPr>
  </w:style>
  <w:style w:type="character" w:styleId="FootnoteReference">
    <w:name w:val="footnote reference"/>
    <w:basedOn w:val="DefaultParagraphFont"/>
    <w:uiPriority w:val="99"/>
    <w:semiHidden/>
    <w:unhideWhenUsed/>
    <w:rsid w:val="00E533B6"/>
    <w:rPr>
      <w:vertAlign w:val="superscript"/>
    </w:rPr>
  </w:style>
  <w:style w:type="paragraph" w:styleId="BalloonText">
    <w:name w:val="Balloon Text"/>
    <w:basedOn w:val="Normal"/>
    <w:link w:val="BalloonTextChar"/>
    <w:uiPriority w:val="99"/>
    <w:semiHidden/>
    <w:unhideWhenUsed/>
    <w:rsid w:val="00CB5C90"/>
    <w:rPr>
      <w:rFonts w:ascii="Tahoma" w:hAnsi="Tahoma" w:cs="Tahoma"/>
      <w:sz w:val="16"/>
      <w:szCs w:val="16"/>
    </w:rPr>
  </w:style>
  <w:style w:type="character" w:customStyle="1" w:styleId="BalloonTextChar">
    <w:name w:val="Balloon Text Char"/>
    <w:basedOn w:val="DefaultParagraphFont"/>
    <w:link w:val="BalloonText"/>
    <w:uiPriority w:val="99"/>
    <w:semiHidden/>
    <w:rsid w:val="00CB5C90"/>
    <w:rPr>
      <w:rFonts w:ascii="Tahoma" w:hAnsi="Tahoma" w:cs="Tahoma"/>
      <w:sz w:val="16"/>
      <w:szCs w:val="16"/>
    </w:rPr>
  </w:style>
  <w:style w:type="paragraph" w:styleId="ListParagraph">
    <w:name w:val="List Paragraph"/>
    <w:basedOn w:val="Normal"/>
    <w:uiPriority w:val="34"/>
    <w:qFormat/>
    <w:rsid w:val="00694D7D"/>
    <w:pPr>
      <w:ind w:left="720"/>
      <w:contextualSpacing/>
    </w:pPr>
  </w:style>
  <w:style w:type="paragraph" w:styleId="Header">
    <w:name w:val="header"/>
    <w:basedOn w:val="Normal"/>
    <w:link w:val="HeaderChar"/>
    <w:uiPriority w:val="99"/>
    <w:unhideWhenUsed/>
    <w:rsid w:val="00DC1A9D"/>
    <w:pPr>
      <w:tabs>
        <w:tab w:val="center" w:pos="4513"/>
        <w:tab w:val="right" w:pos="9026"/>
      </w:tabs>
    </w:pPr>
  </w:style>
  <w:style w:type="character" w:customStyle="1" w:styleId="HeaderChar">
    <w:name w:val="Header Char"/>
    <w:basedOn w:val="DefaultParagraphFont"/>
    <w:link w:val="Header"/>
    <w:uiPriority w:val="99"/>
    <w:rsid w:val="00DC1A9D"/>
  </w:style>
  <w:style w:type="paragraph" w:styleId="Footer">
    <w:name w:val="footer"/>
    <w:basedOn w:val="Normal"/>
    <w:link w:val="FooterChar"/>
    <w:uiPriority w:val="99"/>
    <w:unhideWhenUsed/>
    <w:rsid w:val="00DC1A9D"/>
    <w:pPr>
      <w:tabs>
        <w:tab w:val="center" w:pos="4513"/>
        <w:tab w:val="right" w:pos="9026"/>
      </w:tabs>
    </w:pPr>
  </w:style>
  <w:style w:type="character" w:customStyle="1" w:styleId="FooterChar">
    <w:name w:val="Footer Char"/>
    <w:basedOn w:val="DefaultParagraphFont"/>
    <w:link w:val="Footer"/>
    <w:uiPriority w:val="99"/>
    <w:rsid w:val="00DC1A9D"/>
  </w:style>
  <w:style w:type="character" w:styleId="LineNumber">
    <w:name w:val="line number"/>
    <w:basedOn w:val="DefaultParagraphFont"/>
    <w:uiPriority w:val="99"/>
    <w:semiHidden/>
    <w:unhideWhenUsed/>
    <w:rsid w:val="00EE6F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3680"/>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uiPriority w:val="99"/>
    <w:unhideWhenUsed/>
    <w:rsid w:val="00C560F7"/>
    <w:rPr>
      <w:color w:val="0000FF"/>
      <w:u w:val="single"/>
    </w:rPr>
  </w:style>
  <w:style w:type="paragraph" w:styleId="BodyText3">
    <w:name w:val="Body Text 3"/>
    <w:basedOn w:val="Normal"/>
    <w:link w:val="BodyText3Char"/>
    <w:rsid w:val="00C560F7"/>
    <w:pPr>
      <w:overflowPunct w:val="0"/>
      <w:autoSpaceDE w:val="0"/>
      <w:autoSpaceDN w:val="0"/>
      <w:adjustRightInd w:val="0"/>
      <w:textAlignment w:val="baseline"/>
    </w:pPr>
    <w:rPr>
      <w:rFonts w:ascii="Times New Roman" w:eastAsia="Times New Roman" w:hAnsi="Times New Roman" w:cs="Times New Roman"/>
      <w:b/>
      <w:i/>
      <w:sz w:val="24"/>
      <w:szCs w:val="20"/>
      <w:lang w:val="en-US"/>
    </w:rPr>
  </w:style>
  <w:style w:type="character" w:customStyle="1" w:styleId="BodyText3Char">
    <w:name w:val="Body Text 3 Char"/>
    <w:basedOn w:val="DefaultParagraphFont"/>
    <w:link w:val="BodyText3"/>
    <w:rsid w:val="00C560F7"/>
    <w:rPr>
      <w:rFonts w:ascii="Times New Roman" w:eastAsia="Times New Roman" w:hAnsi="Times New Roman" w:cs="Times New Roman"/>
      <w:b/>
      <w:i/>
      <w:sz w:val="24"/>
      <w:szCs w:val="20"/>
      <w:lang w:val="en-US"/>
    </w:rPr>
  </w:style>
  <w:style w:type="paragraph" w:styleId="FootnoteText">
    <w:name w:val="footnote text"/>
    <w:basedOn w:val="Normal"/>
    <w:link w:val="FootnoteTextChar"/>
    <w:uiPriority w:val="99"/>
    <w:semiHidden/>
    <w:unhideWhenUsed/>
    <w:rsid w:val="00E533B6"/>
    <w:rPr>
      <w:sz w:val="20"/>
      <w:szCs w:val="20"/>
    </w:rPr>
  </w:style>
  <w:style w:type="character" w:customStyle="1" w:styleId="FootnoteTextChar">
    <w:name w:val="Footnote Text Char"/>
    <w:basedOn w:val="DefaultParagraphFont"/>
    <w:link w:val="FootnoteText"/>
    <w:uiPriority w:val="99"/>
    <w:semiHidden/>
    <w:rsid w:val="00E533B6"/>
    <w:rPr>
      <w:sz w:val="20"/>
      <w:szCs w:val="20"/>
    </w:rPr>
  </w:style>
  <w:style w:type="character" w:styleId="FootnoteReference">
    <w:name w:val="footnote reference"/>
    <w:basedOn w:val="DefaultParagraphFont"/>
    <w:uiPriority w:val="99"/>
    <w:semiHidden/>
    <w:unhideWhenUsed/>
    <w:rsid w:val="00E533B6"/>
    <w:rPr>
      <w:vertAlign w:val="superscript"/>
    </w:rPr>
  </w:style>
  <w:style w:type="paragraph" w:styleId="BalloonText">
    <w:name w:val="Balloon Text"/>
    <w:basedOn w:val="Normal"/>
    <w:link w:val="BalloonTextChar"/>
    <w:uiPriority w:val="99"/>
    <w:semiHidden/>
    <w:unhideWhenUsed/>
    <w:rsid w:val="00CB5C90"/>
    <w:rPr>
      <w:rFonts w:ascii="Tahoma" w:hAnsi="Tahoma" w:cs="Tahoma"/>
      <w:sz w:val="16"/>
      <w:szCs w:val="16"/>
    </w:rPr>
  </w:style>
  <w:style w:type="character" w:customStyle="1" w:styleId="BalloonTextChar">
    <w:name w:val="Balloon Text Char"/>
    <w:basedOn w:val="DefaultParagraphFont"/>
    <w:link w:val="BalloonText"/>
    <w:uiPriority w:val="99"/>
    <w:semiHidden/>
    <w:rsid w:val="00CB5C90"/>
    <w:rPr>
      <w:rFonts w:ascii="Tahoma" w:hAnsi="Tahoma" w:cs="Tahoma"/>
      <w:sz w:val="16"/>
      <w:szCs w:val="16"/>
    </w:rPr>
  </w:style>
  <w:style w:type="paragraph" w:styleId="ListParagraph">
    <w:name w:val="List Paragraph"/>
    <w:basedOn w:val="Normal"/>
    <w:uiPriority w:val="34"/>
    <w:qFormat/>
    <w:rsid w:val="00694D7D"/>
    <w:pPr>
      <w:ind w:left="720"/>
      <w:contextualSpacing/>
    </w:pPr>
  </w:style>
  <w:style w:type="paragraph" w:styleId="Header">
    <w:name w:val="header"/>
    <w:basedOn w:val="Normal"/>
    <w:link w:val="HeaderChar"/>
    <w:uiPriority w:val="99"/>
    <w:unhideWhenUsed/>
    <w:rsid w:val="00DC1A9D"/>
    <w:pPr>
      <w:tabs>
        <w:tab w:val="center" w:pos="4513"/>
        <w:tab w:val="right" w:pos="9026"/>
      </w:tabs>
    </w:pPr>
  </w:style>
  <w:style w:type="character" w:customStyle="1" w:styleId="HeaderChar">
    <w:name w:val="Header Char"/>
    <w:basedOn w:val="DefaultParagraphFont"/>
    <w:link w:val="Header"/>
    <w:uiPriority w:val="99"/>
    <w:rsid w:val="00DC1A9D"/>
  </w:style>
  <w:style w:type="paragraph" w:styleId="Footer">
    <w:name w:val="footer"/>
    <w:basedOn w:val="Normal"/>
    <w:link w:val="FooterChar"/>
    <w:uiPriority w:val="99"/>
    <w:unhideWhenUsed/>
    <w:rsid w:val="00DC1A9D"/>
    <w:pPr>
      <w:tabs>
        <w:tab w:val="center" w:pos="4513"/>
        <w:tab w:val="right" w:pos="9026"/>
      </w:tabs>
    </w:pPr>
  </w:style>
  <w:style w:type="character" w:customStyle="1" w:styleId="FooterChar">
    <w:name w:val="Footer Char"/>
    <w:basedOn w:val="DefaultParagraphFont"/>
    <w:link w:val="Footer"/>
    <w:uiPriority w:val="99"/>
    <w:rsid w:val="00DC1A9D"/>
  </w:style>
  <w:style w:type="character" w:styleId="LineNumber">
    <w:name w:val="line number"/>
    <w:basedOn w:val="DefaultParagraphFont"/>
    <w:uiPriority w:val="99"/>
    <w:semiHidden/>
    <w:unhideWhenUsed/>
    <w:rsid w:val="00EE6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1087">
      <w:bodyDiv w:val="1"/>
      <w:marLeft w:val="0"/>
      <w:marRight w:val="0"/>
      <w:marTop w:val="0"/>
      <w:marBottom w:val="0"/>
      <w:divBdr>
        <w:top w:val="none" w:sz="0" w:space="0" w:color="auto"/>
        <w:left w:val="none" w:sz="0" w:space="0" w:color="auto"/>
        <w:bottom w:val="none" w:sz="0" w:space="0" w:color="auto"/>
        <w:right w:val="none" w:sz="0" w:space="0" w:color="auto"/>
      </w:divBdr>
    </w:div>
    <w:div w:id="1297954970">
      <w:bodyDiv w:val="1"/>
      <w:marLeft w:val="0"/>
      <w:marRight w:val="0"/>
      <w:marTop w:val="0"/>
      <w:marBottom w:val="0"/>
      <w:divBdr>
        <w:top w:val="none" w:sz="0" w:space="0" w:color="auto"/>
        <w:left w:val="none" w:sz="0" w:space="0" w:color="auto"/>
        <w:bottom w:val="none" w:sz="0" w:space="0" w:color="auto"/>
        <w:right w:val="none" w:sz="0" w:space="0" w:color="auto"/>
      </w:divBdr>
      <w:divsChild>
        <w:div w:id="860820523">
          <w:marLeft w:val="0"/>
          <w:marRight w:val="0"/>
          <w:marTop w:val="0"/>
          <w:marBottom w:val="0"/>
          <w:divBdr>
            <w:top w:val="none" w:sz="0" w:space="0" w:color="auto"/>
            <w:left w:val="none" w:sz="0" w:space="0" w:color="auto"/>
            <w:bottom w:val="none" w:sz="0" w:space="0" w:color="auto"/>
            <w:right w:val="none" w:sz="0" w:space="0" w:color="auto"/>
          </w:divBdr>
          <w:divsChild>
            <w:div w:id="47919122">
              <w:marLeft w:val="0"/>
              <w:marRight w:val="0"/>
              <w:marTop w:val="0"/>
              <w:marBottom w:val="0"/>
              <w:divBdr>
                <w:top w:val="none" w:sz="0" w:space="0" w:color="auto"/>
                <w:left w:val="none" w:sz="0" w:space="0" w:color="auto"/>
                <w:bottom w:val="none" w:sz="0" w:space="0" w:color="auto"/>
                <w:right w:val="none" w:sz="0" w:space="0" w:color="auto"/>
              </w:divBdr>
              <w:divsChild>
                <w:div w:id="1129280313">
                  <w:marLeft w:val="0"/>
                  <w:marRight w:val="0"/>
                  <w:marTop w:val="0"/>
                  <w:marBottom w:val="0"/>
                  <w:divBdr>
                    <w:top w:val="none" w:sz="0" w:space="0" w:color="auto"/>
                    <w:left w:val="none" w:sz="0" w:space="0" w:color="auto"/>
                    <w:bottom w:val="none" w:sz="0" w:space="0" w:color="auto"/>
                    <w:right w:val="none" w:sz="0" w:space="0" w:color="auto"/>
                  </w:divBdr>
                  <w:divsChild>
                    <w:div w:id="2111966347">
                      <w:marLeft w:val="0"/>
                      <w:marRight w:val="0"/>
                      <w:marTop w:val="0"/>
                      <w:marBottom w:val="0"/>
                      <w:divBdr>
                        <w:top w:val="none" w:sz="0" w:space="0" w:color="auto"/>
                        <w:left w:val="none" w:sz="0" w:space="0" w:color="auto"/>
                        <w:bottom w:val="none" w:sz="0" w:space="0" w:color="auto"/>
                        <w:right w:val="none" w:sz="0" w:space="0" w:color="auto"/>
                      </w:divBdr>
                      <w:divsChild>
                        <w:div w:id="1769154276">
                          <w:marLeft w:val="0"/>
                          <w:marRight w:val="0"/>
                          <w:marTop w:val="0"/>
                          <w:marBottom w:val="0"/>
                          <w:divBdr>
                            <w:top w:val="none" w:sz="0" w:space="0" w:color="auto"/>
                            <w:left w:val="none" w:sz="0" w:space="0" w:color="auto"/>
                            <w:bottom w:val="none" w:sz="0" w:space="0" w:color="auto"/>
                            <w:right w:val="none" w:sz="0" w:space="0" w:color="auto"/>
                          </w:divBdr>
                          <w:divsChild>
                            <w:div w:id="23979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8.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image" Target="media/image10.emf"/><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6.emf"/><Relationship Id="rId14" Type="http://schemas.openxmlformats.org/officeDocument/2006/relationships/image" Target="media/image9.emf"/><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5" Type="http://schemas.openxmlformats.org/officeDocument/2006/relationships/image" Target="media/image5.gif"/><Relationship Id="rId4" Type="http://schemas.openxmlformats.org/officeDocument/2006/relationships/image" Target="media/image4.gif"/></Relationships>
</file>

<file path=word/charts/_rels/chart1.xml.rels><?xml version="1.0" encoding="UTF-8" standalone="yes"?>
<Relationships xmlns="http://schemas.openxmlformats.org/package/2006/relationships"><Relationship Id="rId1" Type="http://schemas.openxmlformats.org/officeDocument/2006/relationships/oleObject" Target="file:///\\bmbcdata5\BTDATA\Sigoma\Briefings\rates%20estimate%20comparison%20for%20M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bmbcdata5\BTDATA\Sigoma\Consultation%20responses%20(copies)\100%25%20rate%20retention%20CLG%20consultation%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accent2">
                <a:lumMod val="75000"/>
              </a:schemeClr>
            </a:solidFill>
          </c:spPr>
          <c:invertIfNegative val="0"/>
          <c:val>
            <c:numRef>
              <c:f>All!$L$10:$L$335</c:f>
              <c:numCache>
                <c:formatCode>0%</c:formatCode>
                <c:ptCount val="326"/>
                <c:pt idx="0">
                  <c:v>-0.56688463648968856</c:v>
                </c:pt>
                <c:pt idx="1">
                  <c:v>-0.28631986882120869</c:v>
                </c:pt>
                <c:pt idx="2">
                  <c:v>-0.18727698386458499</c:v>
                </c:pt>
                <c:pt idx="3">
                  <c:v>-0.17718186705076089</c:v>
                </c:pt>
                <c:pt idx="4">
                  <c:v>-0.14345032379609518</c:v>
                </c:pt>
                <c:pt idx="5">
                  <c:v>-0.13311634754632007</c:v>
                </c:pt>
                <c:pt idx="6">
                  <c:v>-0.12286232431752347</c:v>
                </c:pt>
                <c:pt idx="7">
                  <c:v>-0.11929260015211843</c:v>
                </c:pt>
                <c:pt idx="8">
                  <c:v>-0.11788733276266396</c:v>
                </c:pt>
                <c:pt idx="9">
                  <c:v>-0.11464917139773544</c:v>
                </c:pt>
                <c:pt idx="10">
                  <c:v>-0.10837444148868934</c:v>
                </c:pt>
                <c:pt idx="11">
                  <c:v>-0.10834151514916279</c:v>
                </c:pt>
                <c:pt idx="12">
                  <c:v>-9.8855736885726256E-2</c:v>
                </c:pt>
                <c:pt idx="13">
                  <c:v>-9.648959623971759E-2</c:v>
                </c:pt>
                <c:pt idx="14">
                  <c:v>-9.1292919104571893E-2</c:v>
                </c:pt>
                <c:pt idx="15">
                  <c:v>-8.7292680230422165E-2</c:v>
                </c:pt>
                <c:pt idx="16">
                  <c:v>-8.546813077410341E-2</c:v>
                </c:pt>
                <c:pt idx="17">
                  <c:v>-8.4983390349510496E-2</c:v>
                </c:pt>
                <c:pt idx="18">
                  <c:v>-8.4980783542635385E-2</c:v>
                </c:pt>
                <c:pt idx="19">
                  <c:v>-8.3867166486502998E-2</c:v>
                </c:pt>
                <c:pt idx="20">
                  <c:v>-8.002415709392055E-2</c:v>
                </c:pt>
                <c:pt idx="21">
                  <c:v>-7.8531337714118715E-2</c:v>
                </c:pt>
                <c:pt idx="22">
                  <c:v>-7.7915732297430082E-2</c:v>
                </c:pt>
                <c:pt idx="23">
                  <c:v>-6.8610861100293602E-2</c:v>
                </c:pt>
                <c:pt idx="24">
                  <c:v>-6.6194094621850191E-2</c:v>
                </c:pt>
                <c:pt idx="25">
                  <c:v>-6.4304511432208653E-2</c:v>
                </c:pt>
                <c:pt idx="26">
                  <c:v>-5.993710267022203E-2</c:v>
                </c:pt>
                <c:pt idx="27">
                  <c:v>-5.7047895808489284E-2</c:v>
                </c:pt>
                <c:pt idx="28">
                  <c:v>-5.5667909143016961E-2</c:v>
                </c:pt>
                <c:pt idx="29">
                  <c:v>-4.6070516082892803E-2</c:v>
                </c:pt>
                <c:pt idx="30">
                  <c:v>-4.0556294632502835E-2</c:v>
                </c:pt>
                <c:pt idx="31">
                  <c:v>-3.986886896392388E-2</c:v>
                </c:pt>
                <c:pt idx="32">
                  <c:v>-3.6867829030728029E-2</c:v>
                </c:pt>
                <c:pt idx="33">
                  <c:v>-3.4789528637430539E-2</c:v>
                </c:pt>
                <c:pt idx="34">
                  <c:v>-3.3537190341636991E-2</c:v>
                </c:pt>
                <c:pt idx="35">
                  <c:v>-3.3432295628720805E-2</c:v>
                </c:pt>
                <c:pt idx="36">
                  <c:v>-3.3227481219964258E-2</c:v>
                </c:pt>
                <c:pt idx="37">
                  <c:v>-2.7687372962734831E-2</c:v>
                </c:pt>
                <c:pt idx="38">
                  <c:v>-2.3870356544224206E-2</c:v>
                </c:pt>
                <c:pt idx="39">
                  <c:v>-2.2429924985809292E-2</c:v>
                </c:pt>
                <c:pt idx="40">
                  <c:v>-1.6978645236183025E-2</c:v>
                </c:pt>
                <c:pt idx="41">
                  <c:v>-1.5709609887894271E-2</c:v>
                </c:pt>
                <c:pt idx="42">
                  <c:v>-1.1681328018294843E-2</c:v>
                </c:pt>
                <c:pt idx="43">
                  <c:v>-1.0896480008951517E-2</c:v>
                </c:pt>
                <c:pt idx="44">
                  <c:v>-8.2306711113065822E-3</c:v>
                </c:pt>
                <c:pt idx="45">
                  <c:v>-6.4851541817806824E-3</c:v>
                </c:pt>
                <c:pt idx="46">
                  <c:v>-5.3149952328647339E-3</c:v>
                </c:pt>
                <c:pt idx="47">
                  <c:v>-4.594849875672974E-3</c:v>
                </c:pt>
                <c:pt idx="48">
                  <c:v>-2.9055250659568294E-3</c:v>
                </c:pt>
                <c:pt idx="49">
                  <c:v>-2.9024692474495213E-3</c:v>
                </c:pt>
                <c:pt idx="50">
                  <c:v>-2.8852239579998744E-3</c:v>
                </c:pt>
                <c:pt idx="51">
                  <c:v>-2.8787762053927974E-3</c:v>
                </c:pt>
                <c:pt idx="52">
                  <c:v>-2.5941333251893587E-3</c:v>
                </c:pt>
                <c:pt idx="53">
                  <c:v>-2.3554090147267499E-3</c:v>
                </c:pt>
                <c:pt idx="54">
                  <c:v>-2.0253559310313501E-3</c:v>
                </c:pt>
                <c:pt idx="55">
                  <c:v>-2.0125338696017812E-3</c:v>
                </c:pt>
                <c:pt idx="56">
                  <c:v>4.8033517198788848E-4</c:v>
                </c:pt>
                <c:pt idx="57">
                  <c:v>7.1239861178406714E-4</c:v>
                </c:pt>
                <c:pt idx="58">
                  <c:v>2.5689920378670181E-3</c:v>
                </c:pt>
                <c:pt idx="59">
                  <c:v>3.2045365194547626E-3</c:v>
                </c:pt>
                <c:pt idx="60">
                  <c:v>3.9357449386588708E-3</c:v>
                </c:pt>
                <c:pt idx="61">
                  <c:v>5.4767701962254948E-3</c:v>
                </c:pt>
                <c:pt idx="62">
                  <c:v>7.3083953673029698E-3</c:v>
                </c:pt>
                <c:pt idx="63">
                  <c:v>7.6269106054790243E-3</c:v>
                </c:pt>
                <c:pt idx="64">
                  <c:v>8.3225695959227349E-3</c:v>
                </c:pt>
                <c:pt idx="65">
                  <c:v>8.9550194324734666E-3</c:v>
                </c:pt>
                <c:pt idx="66">
                  <c:v>9.5995021772398402E-3</c:v>
                </c:pt>
                <c:pt idx="67">
                  <c:v>1.0500452162198972E-2</c:v>
                </c:pt>
                <c:pt idx="68">
                  <c:v>1.0523125555009822E-2</c:v>
                </c:pt>
                <c:pt idx="69">
                  <c:v>1.0619114721539922E-2</c:v>
                </c:pt>
                <c:pt idx="70">
                  <c:v>1.1317701640147702E-2</c:v>
                </c:pt>
                <c:pt idx="71">
                  <c:v>1.1371671036752167E-2</c:v>
                </c:pt>
                <c:pt idx="72">
                  <c:v>1.1856477801784693E-2</c:v>
                </c:pt>
                <c:pt idx="73">
                  <c:v>1.223292622501326E-2</c:v>
                </c:pt>
                <c:pt idx="74">
                  <c:v>1.2366918005116915E-2</c:v>
                </c:pt>
                <c:pt idx="75">
                  <c:v>1.250655259627337E-2</c:v>
                </c:pt>
                <c:pt idx="76">
                  <c:v>1.2873804818436878E-2</c:v>
                </c:pt>
                <c:pt idx="77">
                  <c:v>1.3021063882856199E-2</c:v>
                </c:pt>
                <c:pt idx="78">
                  <c:v>1.3028792398511103E-2</c:v>
                </c:pt>
                <c:pt idx="79">
                  <c:v>1.3427606836260727E-2</c:v>
                </c:pt>
                <c:pt idx="80">
                  <c:v>1.396301772450499E-2</c:v>
                </c:pt>
                <c:pt idx="81">
                  <c:v>1.4372273858143995E-2</c:v>
                </c:pt>
                <c:pt idx="82">
                  <c:v>1.7350808304262454E-2</c:v>
                </c:pt>
                <c:pt idx="83">
                  <c:v>1.8156336808071594E-2</c:v>
                </c:pt>
                <c:pt idx="84">
                  <c:v>1.82531436903767E-2</c:v>
                </c:pt>
                <c:pt idx="85">
                  <c:v>1.998381393915449E-2</c:v>
                </c:pt>
                <c:pt idx="86">
                  <c:v>2.0183965307076782E-2</c:v>
                </c:pt>
                <c:pt idx="87">
                  <c:v>2.0239930332693831E-2</c:v>
                </c:pt>
                <c:pt idx="88">
                  <c:v>2.1071541523486371E-2</c:v>
                </c:pt>
                <c:pt idx="89">
                  <c:v>2.1268143720379735E-2</c:v>
                </c:pt>
                <c:pt idx="90">
                  <c:v>2.2742306108011798E-2</c:v>
                </c:pt>
                <c:pt idx="91">
                  <c:v>2.2758429718558605E-2</c:v>
                </c:pt>
                <c:pt idx="92">
                  <c:v>2.2947579093440435E-2</c:v>
                </c:pt>
                <c:pt idx="93">
                  <c:v>2.3005133194196708E-2</c:v>
                </c:pt>
                <c:pt idx="94">
                  <c:v>2.3128007145971487E-2</c:v>
                </c:pt>
                <c:pt idx="95">
                  <c:v>2.3909085686007879E-2</c:v>
                </c:pt>
                <c:pt idx="96">
                  <c:v>2.4100268191837249E-2</c:v>
                </c:pt>
                <c:pt idx="97">
                  <c:v>2.5986532481500173E-2</c:v>
                </c:pt>
                <c:pt idx="98">
                  <c:v>2.6248038613122669E-2</c:v>
                </c:pt>
                <c:pt idx="99">
                  <c:v>2.6800699193205199E-2</c:v>
                </c:pt>
                <c:pt idx="100">
                  <c:v>2.6939137141606451E-2</c:v>
                </c:pt>
                <c:pt idx="101">
                  <c:v>2.8191051351884131E-2</c:v>
                </c:pt>
                <c:pt idx="102">
                  <c:v>2.8633249540277569E-2</c:v>
                </c:pt>
                <c:pt idx="103">
                  <c:v>2.9138061596340397E-2</c:v>
                </c:pt>
                <c:pt idx="104">
                  <c:v>2.9451931886901109E-2</c:v>
                </c:pt>
                <c:pt idx="105">
                  <c:v>2.9708702321780509E-2</c:v>
                </c:pt>
                <c:pt idx="106">
                  <c:v>3.0336508944283563E-2</c:v>
                </c:pt>
                <c:pt idx="107">
                  <c:v>3.0894724809695778E-2</c:v>
                </c:pt>
                <c:pt idx="108">
                  <c:v>3.1298477152256886E-2</c:v>
                </c:pt>
                <c:pt idx="109">
                  <c:v>3.1552179704670988E-2</c:v>
                </c:pt>
                <c:pt idx="110">
                  <c:v>3.1574087645969522E-2</c:v>
                </c:pt>
                <c:pt idx="111">
                  <c:v>3.1639519821147516E-2</c:v>
                </c:pt>
                <c:pt idx="112">
                  <c:v>3.2309266102373529E-2</c:v>
                </c:pt>
                <c:pt idx="113">
                  <c:v>3.4399769778262486E-2</c:v>
                </c:pt>
                <c:pt idx="114">
                  <c:v>3.4562298845193781E-2</c:v>
                </c:pt>
                <c:pt idx="115">
                  <c:v>3.4934358662366778E-2</c:v>
                </c:pt>
                <c:pt idx="116">
                  <c:v>3.5017452104153003E-2</c:v>
                </c:pt>
                <c:pt idx="117">
                  <c:v>3.5244851631125562E-2</c:v>
                </c:pt>
                <c:pt idx="118">
                  <c:v>3.5430770732158695E-2</c:v>
                </c:pt>
                <c:pt idx="119">
                  <c:v>3.5594075398751035E-2</c:v>
                </c:pt>
                <c:pt idx="120">
                  <c:v>3.5686586993252459E-2</c:v>
                </c:pt>
                <c:pt idx="121">
                  <c:v>3.6007915769136464E-2</c:v>
                </c:pt>
                <c:pt idx="122">
                  <c:v>3.657623710857618E-2</c:v>
                </c:pt>
                <c:pt idx="123">
                  <c:v>3.7089651580668209E-2</c:v>
                </c:pt>
                <c:pt idx="124">
                  <c:v>3.840451372783097E-2</c:v>
                </c:pt>
                <c:pt idx="125">
                  <c:v>3.8812815358339435E-2</c:v>
                </c:pt>
                <c:pt idx="126">
                  <c:v>3.8927567383520378E-2</c:v>
                </c:pt>
                <c:pt idx="127">
                  <c:v>3.909845307496148E-2</c:v>
                </c:pt>
                <c:pt idx="128">
                  <c:v>3.9664361038880304E-2</c:v>
                </c:pt>
                <c:pt idx="129">
                  <c:v>4.0034372653804773E-2</c:v>
                </c:pt>
                <c:pt idx="130">
                  <c:v>4.0557110824851465E-2</c:v>
                </c:pt>
                <c:pt idx="131">
                  <c:v>4.070091304136033E-2</c:v>
                </c:pt>
                <c:pt idx="132">
                  <c:v>4.1412074188010226E-2</c:v>
                </c:pt>
                <c:pt idx="133">
                  <c:v>4.2530430626799946E-2</c:v>
                </c:pt>
                <c:pt idx="134">
                  <c:v>4.2582245835668851E-2</c:v>
                </c:pt>
                <c:pt idx="135">
                  <c:v>4.2585862353672621E-2</c:v>
                </c:pt>
                <c:pt idx="136">
                  <c:v>4.2636765063009813E-2</c:v>
                </c:pt>
                <c:pt idx="137">
                  <c:v>4.2914104379523643E-2</c:v>
                </c:pt>
                <c:pt idx="138">
                  <c:v>4.3410909566036077E-2</c:v>
                </c:pt>
                <c:pt idx="139">
                  <c:v>4.3890788084051328E-2</c:v>
                </c:pt>
                <c:pt idx="140">
                  <c:v>4.3925956752164916E-2</c:v>
                </c:pt>
                <c:pt idx="141">
                  <c:v>4.4027864356265392E-2</c:v>
                </c:pt>
                <c:pt idx="142">
                  <c:v>4.5275621801561632E-2</c:v>
                </c:pt>
                <c:pt idx="143">
                  <c:v>4.5484005332256106E-2</c:v>
                </c:pt>
                <c:pt idx="144">
                  <c:v>4.5613917584411835E-2</c:v>
                </c:pt>
                <c:pt idx="145">
                  <c:v>4.5727447208893005E-2</c:v>
                </c:pt>
                <c:pt idx="146">
                  <c:v>4.5829636413856678E-2</c:v>
                </c:pt>
                <c:pt idx="147">
                  <c:v>4.6403844581401781E-2</c:v>
                </c:pt>
                <c:pt idx="148">
                  <c:v>4.6788604754647793E-2</c:v>
                </c:pt>
                <c:pt idx="149">
                  <c:v>4.8010778993998054E-2</c:v>
                </c:pt>
                <c:pt idx="150">
                  <c:v>4.8134790250772004E-2</c:v>
                </c:pt>
                <c:pt idx="151">
                  <c:v>4.8298804900909445E-2</c:v>
                </c:pt>
                <c:pt idx="152">
                  <c:v>4.8462542222083481E-2</c:v>
                </c:pt>
                <c:pt idx="153">
                  <c:v>4.8868869397142745E-2</c:v>
                </c:pt>
                <c:pt idx="154">
                  <c:v>4.9500799521847931E-2</c:v>
                </c:pt>
                <c:pt idx="155">
                  <c:v>4.9640633182271514E-2</c:v>
                </c:pt>
                <c:pt idx="156">
                  <c:v>5.0355827500665341E-2</c:v>
                </c:pt>
                <c:pt idx="157">
                  <c:v>5.0527139624374183E-2</c:v>
                </c:pt>
                <c:pt idx="158">
                  <c:v>5.0740829915650994E-2</c:v>
                </c:pt>
                <c:pt idx="159">
                  <c:v>5.1981396702354334E-2</c:v>
                </c:pt>
                <c:pt idx="160">
                  <c:v>5.2249009369253314E-2</c:v>
                </c:pt>
                <c:pt idx="161">
                  <c:v>5.3041665111616745E-2</c:v>
                </c:pt>
                <c:pt idx="162">
                  <c:v>5.4336510203125611E-2</c:v>
                </c:pt>
                <c:pt idx="163">
                  <c:v>5.4441582155058801E-2</c:v>
                </c:pt>
                <c:pt idx="164">
                  <c:v>5.4792449457360427E-2</c:v>
                </c:pt>
                <c:pt idx="165">
                  <c:v>5.5431161715869474E-2</c:v>
                </c:pt>
                <c:pt idx="166">
                  <c:v>5.5893198084908342E-2</c:v>
                </c:pt>
                <c:pt idx="167">
                  <c:v>5.6265653422613818E-2</c:v>
                </c:pt>
                <c:pt idx="168">
                  <c:v>5.6442584472893E-2</c:v>
                </c:pt>
                <c:pt idx="169">
                  <c:v>5.644705307142435E-2</c:v>
                </c:pt>
                <c:pt idx="170">
                  <c:v>5.6746268335075262E-2</c:v>
                </c:pt>
                <c:pt idx="171">
                  <c:v>5.7529071774991405E-2</c:v>
                </c:pt>
                <c:pt idx="172">
                  <c:v>5.7793255610155823E-2</c:v>
                </c:pt>
                <c:pt idx="173">
                  <c:v>5.8043760564992448E-2</c:v>
                </c:pt>
                <c:pt idx="174">
                  <c:v>5.8087969950083154E-2</c:v>
                </c:pt>
                <c:pt idx="175">
                  <c:v>5.8316884494896533E-2</c:v>
                </c:pt>
                <c:pt idx="176">
                  <c:v>6.0044797827736904E-2</c:v>
                </c:pt>
                <c:pt idx="177">
                  <c:v>6.1123283172520734E-2</c:v>
                </c:pt>
                <c:pt idx="178">
                  <c:v>6.1345292460336549E-2</c:v>
                </c:pt>
                <c:pt idx="179">
                  <c:v>6.1797334951250511E-2</c:v>
                </c:pt>
                <c:pt idx="180">
                  <c:v>6.1868441799673303E-2</c:v>
                </c:pt>
                <c:pt idx="181">
                  <c:v>6.2098376959618194E-2</c:v>
                </c:pt>
                <c:pt idx="182">
                  <c:v>6.2125357441570904E-2</c:v>
                </c:pt>
                <c:pt idx="183">
                  <c:v>6.2703224521063708E-2</c:v>
                </c:pt>
                <c:pt idx="184">
                  <c:v>6.2715833757070863E-2</c:v>
                </c:pt>
                <c:pt idx="185">
                  <c:v>6.27432306659058E-2</c:v>
                </c:pt>
                <c:pt idx="186">
                  <c:v>6.2830709945347951E-2</c:v>
                </c:pt>
                <c:pt idx="187">
                  <c:v>6.3342382344139331E-2</c:v>
                </c:pt>
                <c:pt idx="188">
                  <c:v>6.3374482071483884E-2</c:v>
                </c:pt>
                <c:pt idx="189">
                  <c:v>6.3388216499025096E-2</c:v>
                </c:pt>
                <c:pt idx="190">
                  <c:v>6.385202428384161E-2</c:v>
                </c:pt>
                <c:pt idx="191">
                  <c:v>6.4529081080094697E-2</c:v>
                </c:pt>
                <c:pt idx="192">
                  <c:v>6.5117236868402151E-2</c:v>
                </c:pt>
                <c:pt idx="193">
                  <c:v>6.5689391794726534E-2</c:v>
                </c:pt>
                <c:pt idx="194">
                  <c:v>6.6215782894809519E-2</c:v>
                </c:pt>
                <c:pt idx="195">
                  <c:v>6.6353218160680447E-2</c:v>
                </c:pt>
                <c:pt idx="196">
                  <c:v>6.6791949696998379E-2</c:v>
                </c:pt>
                <c:pt idx="197">
                  <c:v>6.6910184817941809E-2</c:v>
                </c:pt>
                <c:pt idx="198">
                  <c:v>6.6952847736111848E-2</c:v>
                </c:pt>
                <c:pt idx="199">
                  <c:v>6.7597924439464635E-2</c:v>
                </c:pt>
                <c:pt idx="200">
                  <c:v>6.7767254979267069E-2</c:v>
                </c:pt>
                <c:pt idx="201">
                  <c:v>6.8557821521897752E-2</c:v>
                </c:pt>
                <c:pt idx="202">
                  <c:v>6.9013835489420319E-2</c:v>
                </c:pt>
                <c:pt idx="203">
                  <c:v>6.9687797606955537E-2</c:v>
                </c:pt>
                <c:pt idx="204">
                  <c:v>6.9702407635914621E-2</c:v>
                </c:pt>
                <c:pt idx="205">
                  <c:v>7.022952044317024E-2</c:v>
                </c:pt>
                <c:pt idx="206">
                  <c:v>7.0234079047213585E-2</c:v>
                </c:pt>
                <c:pt idx="207">
                  <c:v>7.114054078278273E-2</c:v>
                </c:pt>
                <c:pt idx="208">
                  <c:v>7.1927364419681061E-2</c:v>
                </c:pt>
                <c:pt idx="209">
                  <c:v>7.2089325967413076E-2</c:v>
                </c:pt>
                <c:pt idx="210">
                  <c:v>7.2168936589914759E-2</c:v>
                </c:pt>
                <c:pt idx="211">
                  <c:v>7.2268282375928208E-2</c:v>
                </c:pt>
                <c:pt idx="212">
                  <c:v>7.3047823714905202E-2</c:v>
                </c:pt>
                <c:pt idx="213">
                  <c:v>7.3609857980184004E-2</c:v>
                </c:pt>
                <c:pt idx="214">
                  <c:v>7.4081171350895106E-2</c:v>
                </c:pt>
                <c:pt idx="215">
                  <c:v>7.4573172899886631E-2</c:v>
                </c:pt>
                <c:pt idx="216">
                  <c:v>7.4982617648976804E-2</c:v>
                </c:pt>
                <c:pt idx="217">
                  <c:v>7.5139599451947425E-2</c:v>
                </c:pt>
                <c:pt idx="218">
                  <c:v>7.5501510992869197E-2</c:v>
                </c:pt>
                <c:pt idx="219">
                  <c:v>7.6250902202321141E-2</c:v>
                </c:pt>
                <c:pt idx="220">
                  <c:v>7.6501751888794683E-2</c:v>
                </c:pt>
                <c:pt idx="221">
                  <c:v>7.7639555585304304E-2</c:v>
                </c:pt>
                <c:pt idx="222">
                  <c:v>7.7779757999463489E-2</c:v>
                </c:pt>
                <c:pt idx="223">
                  <c:v>7.8649962038344456E-2</c:v>
                </c:pt>
                <c:pt idx="224">
                  <c:v>7.893393008665682E-2</c:v>
                </c:pt>
                <c:pt idx="225">
                  <c:v>8.1133702235147001E-2</c:v>
                </c:pt>
                <c:pt idx="226">
                  <c:v>8.2664838289402326E-2</c:v>
                </c:pt>
                <c:pt idx="227">
                  <c:v>8.2730210737155738E-2</c:v>
                </c:pt>
                <c:pt idx="228">
                  <c:v>8.3086959259527027E-2</c:v>
                </c:pt>
                <c:pt idx="229">
                  <c:v>8.3734311260719008E-2</c:v>
                </c:pt>
                <c:pt idx="230">
                  <c:v>8.4298484004672436E-2</c:v>
                </c:pt>
                <c:pt idx="231">
                  <c:v>8.5506039855738722E-2</c:v>
                </c:pt>
                <c:pt idx="232">
                  <c:v>8.5607845764818571E-2</c:v>
                </c:pt>
                <c:pt idx="233">
                  <c:v>8.6840351541771374E-2</c:v>
                </c:pt>
                <c:pt idx="234">
                  <c:v>8.69667277293137E-2</c:v>
                </c:pt>
                <c:pt idx="235">
                  <c:v>8.7144675254017132E-2</c:v>
                </c:pt>
                <c:pt idx="236">
                  <c:v>8.9075450672669615E-2</c:v>
                </c:pt>
                <c:pt idx="237">
                  <c:v>8.9114524307404436E-2</c:v>
                </c:pt>
                <c:pt idx="238">
                  <c:v>8.9198873733795564E-2</c:v>
                </c:pt>
                <c:pt idx="239">
                  <c:v>8.9306486075265076E-2</c:v>
                </c:pt>
                <c:pt idx="240">
                  <c:v>8.9321989378067762E-2</c:v>
                </c:pt>
                <c:pt idx="241">
                  <c:v>8.9342298693116814E-2</c:v>
                </c:pt>
                <c:pt idx="242">
                  <c:v>8.9465371266692822E-2</c:v>
                </c:pt>
                <c:pt idx="243">
                  <c:v>8.9971103700265689E-2</c:v>
                </c:pt>
                <c:pt idx="244">
                  <c:v>9.1645404083404006E-2</c:v>
                </c:pt>
                <c:pt idx="245">
                  <c:v>9.2065108093914008E-2</c:v>
                </c:pt>
                <c:pt idx="246">
                  <c:v>9.3454952925149229E-2</c:v>
                </c:pt>
                <c:pt idx="247">
                  <c:v>9.4282871223418815E-2</c:v>
                </c:pt>
                <c:pt idx="248">
                  <c:v>9.4524454531940402E-2</c:v>
                </c:pt>
                <c:pt idx="249">
                  <c:v>9.5247204751374395E-2</c:v>
                </c:pt>
                <c:pt idx="250">
                  <c:v>9.5340303369506038E-2</c:v>
                </c:pt>
                <c:pt idx="251">
                  <c:v>9.6674522078457253E-2</c:v>
                </c:pt>
                <c:pt idx="252">
                  <c:v>9.6789003774382515E-2</c:v>
                </c:pt>
                <c:pt idx="253">
                  <c:v>9.8283043925901648E-2</c:v>
                </c:pt>
                <c:pt idx="254">
                  <c:v>9.886969915108107E-2</c:v>
                </c:pt>
                <c:pt idx="255">
                  <c:v>0.10313999697898563</c:v>
                </c:pt>
                <c:pt idx="256">
                  <c:v>0.10323218471456938</c:v>
                </c:pt>
                <c:pt idx="257">
                  <c:v>0.10532116974489472</c:v>
                </c:pt>
                <c:pt idx="258">
                  <c:v>0.10710363434685928</c:v>
                </c:pt>
                <c:pt idx="259">
                  <c:v>0.10722044976744398</c:v>
                </c:pt>
                <c:pt idx="260">
                  <c:v>0.10729973812099197</c:v>
                </c:pt>
                <c:pt idx="261">
                  <c:v>0.10779216571311623</c:v>
                </c:pt>
                <c:pt idx="262">
                  <c:v>0.10850159645954975</c:v>
                </c:pt>
                <c:pt idx="263">
                  <c:v>0.10904707127707922</c:v>
                </c:pt>
                <c:pt idx="264">
                  <c:v>0.10983876653027726</c:v>
                </c:pt>
                <c:pt idx="265">
                  <c:v>0.11085422947426153</c:v>
                </c:pt>
                <c:pt idx="266">
                  <c:v>0.11160211750126071</c:v>
                </c:pt>
                <c:pt idx="267">
                  <c:v>0.11177966767713998</c:v>
                </c:pt>
                <c:pt idx="268">
                  <c:v>0.11216164507441795</c:v>
                </c:pt>
                <c:pt idx="269">
                  <c:v>0.11278433424265026</c:v>
                </c:pt>
                <c:pt idx="270">
                  <c:v>0.11347376283091945</c:v>
                </c:pt>
                <c:pt idx="271">
                  <c:v>0.11474306917634951</c:v>
                </c:pt>
                <c:pt idx="272">
                  <c:v>0.11477060102501847</c:v>
                </c:pt>
                <c:pt idx="273">
                  <c:v>0.11534586665355437</c:v>
                </c:pt>
                <c:pt idx="274">
                  <c:v>0.11568853021685313</c:v>
                </c:pt>
                <c:pt idx="275">
                  <c:v>0.11942013188602557</c:v>
                </c:pt>
                <c:pt idx="276">
                  <c:v>0.12477810989015665</c:v>
                </c:pt>
                <c:pt idx="277">
                  <c:v>0.12753396066234815</c:v>
                </c:pt>
                <c:pt idx="278">
                  <c:v>0.12785979768204156</c:v>
                </c:pt>
                <c:pt idx="279">
                  <c:v>0.12981776037765375</c:v>
                </c:pt>
                <c:pt idx="280">
                  <c:v>0.12997453397125794</c:v>
                </c:pt>
                <c:pt idx="281">
                  <c:v>0.13106145614255724</c:v>
                </c:pt>
                <c:pt idx="282">
                  <c:v>0.13113973565640097</c:v>
                </c:pt>
                <c:pt idx="283">
                  <c:v>0.13212246221260257</c:v>
                </c:pt>
                <c:pt idx="284">
                  <c:v>0.13324479978219572</c:v>
                </c:pt>
                <c:pt idx="285">
                  <c:v>0.13382460082650446</c:v>
                </c:pt>
                <c:pt idx="286">
                  <c:v>0.13455567233463822</c:v>
                </c:pt>
                <c:pt idx="287">
                  <c:v>0.13512063268032612</c:v>
                </c:pt>
                <c:pt idx="288">
                  <c:v>0.13591223520546805</c:v>
                </c:pt>
                <c:pt idx="289">
                  <c:v>0.13641918933215305</c:v>
                </c:pt>
                <c:pt idx="290">
                  <c:v>0.13947752756928911</c:v>
                </c:pt>
                <c:pt idx="291">
                  <c:v>0.13954923179293768</c:v>
                </c:pt>
                <c:pt idx="292">
                  <c:v>0.14431944809619029</c:v>
                </c:pt>
                <c:pt idx="293">
                  <c:v>0.1447660571673324</c:v>
                </c:pt>
                <c:pt idx="294">
                  <c:v>0.14778302147510683</c:v>
                </c:pt>
                <c:pt idx="295">
                  <c:v>0.14794155789188462</c:v>
                </c:pt>
                <c:pt idx="296">
                  <c:v>0.1496876672127235</c:v>
                </c:pt>
                <c:pt idx="297">
                  <c:v>0.15193151945833397</c:v>
                </c:pt>
                <c:pt idx="298">
                  <c:v>0.15216403793116784</c:v>
                </c:pt>
                <c:pt idx="299">
                  <c:v>0.15975557400635487</c:v>
                </c:pt>
                <c:pt idx="300">
                  <c:v>0.16039975098458278</c:v>
                </c:pt>
                <c:pt idx="301">
                  <c:v>0.16138416842276374</c:v>
                </c:pt>
                <c:pt idx="302">
                  <c:v>0.16446153322440338</c:v>
                </c:pt>
                <c:pt idx="303">
                  <c:v>0.16691797469434919</c:v>
                </c:pt>
                <c:pt idx="304">
                  <c:v>0.16731804568455863</c:v>
                </c:pt>
                <c:pt idx="305">
                  <c:v>0.16842572817684009</c:v>
                </c:pt>
                <c:pt idx="306">
                  <c:v>0.16958908861519545</c:v>
                </c:pt>
                <c:pt idx="307">
                  <c:v>0.17074278703393536</c:v>
                </c:pt>
                <c:pt idx="308">
                  <c:v>0.17078648516130493</c:v>
                </c:pt>
                <c:pt idx="309">
                  <c:v>0.17093514454940553</c:v>
                </c:pt>
                <c:pt idx="310">
                  <c:v>0.17742518870866228</c:v>
                </c:pt>
                <c:pt idx="311">
                  <c:v>0.17764720249477176</c:v>
                </c:pt>
                <c:pt idx="312">
                  <c:v>0.17787806726970476</c:v>
                </c:pt>
                <c:pt idx="313">
                  <c:v>0.17964431125071101</c:v>
                </c:pt>
                <c:pt idx="314">
                  <c:v>0.18997688125805781</c:v>
                </c:pt>
                <c:pt idx="315">
                  <c:v>0.19479839678099065</c:v>
                </c:pt>
                <c:pt idx="316">
                  <c:v>0.19912867368796688</c:v>
                </c:pt>
                <c:pt idx="317">
                  <c:v>0.21383516017405416</c:v>
                </c:pt>
                <c:pt idx="318">
                  <c:v>0.21714115058132458</c:v>
                </c:pt>
                <c:pt idx="319">
                  <c:v>0.24560452406259467</c:v>
                </c:pt>
                <c:pt idx="320">
                  <c:v>0.2587160034388824</c:v>
                </c:pt>
                <c:pt idx="321">
                  <c:v>0.26664202164598111</c:v>
                </c:pt>
                <c:pt idx="322">
                  <c:v>0.272370088660007</c:v>
                </c:pt>
                <c:pt idx="323">
                  <c:v>0.29665219314548802</c:v>
                </c:pt>
                <c:pt idx="324">
                  <c:v>0.30110153045654203</c:v>
                </c:pt>
                <c:pt idx="325">
                  <c:v>0.59586654913301529</c:v>
                </c:pt>
              </c:numCache>
            </c:numRef>
          </c:val>
        </c:ser>
        <c:dLbls>
          <c:showLegendKey val="0"/>
          <c:showVal val="0"/>
          <c:showCatName val="0"/>
          <c:showSerName val="0"/>
          <c:showPercent val="0"/>
          <c:showBubbleSize val="0"/>
        </c:dLbls>
        <c:gapWidth val="150"/>
        <c:axId val="158533888"/>
        <c:axId val="44060672"/>
      </c:barChart>
      <c:catAx>
        <c:axId val="158533888"/>
        <c:scaling>
          <c:orientation val="minMax"/>
        </c:scaling>
        <c:delete val="1"/>
        <c:axPos val="b"/>
        <c:majorTickMark val="out"/>
        <c:minorTickMark val="none"/>
        <c:tickLblPos val="nextTo"/>
        <c:crossAx val="44060672"/>
        <c:crosses val="autoZero"/>
        <c:auto val="1"/>
        <c:lblAlgn val="ctr"/>
        <c:lblOffset val="100"/>
        <c:noMultiLvlLbl val="0"/>
      </c:catAx>
      <c:valAx>
        <c:axId val="44060672"/>
        <c:scaling>
          <c:orientation val="minMax"/>
        </c:scaling>
        <c:delete val="0"/>
        <c:axPos val="l"/>
        <c:majorGridlines/>
        <c:numFmt formatCode="0%" sourceLinked="1"/>
        <c:majorTickMark val="out"/>
        <c:minorTickMark val="none"/>
        <c:tickLblPos val="nextTo"/>
        <c:crossAx val="158533888"/>
        <c:crosses val="autoZero"/>
        <c:crossBetween val="between"/>
      </c:valAx>
    </c:plotArea>
    <c:plotVisOnly val="1"/>
    <c:dispBlanksAs val="gap"/>
    <c:showDLblsOverMax val="0"/>
  </c:chart>
  <c:spPr>
    <a:ln>
      <a:solidFill>
        <a:schemeClr val="accent2">
          <a:lumMod val="75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Other</c:v>
          </c:tx>
          <c:invertIfNegative val="0"/>
          <c:val>
            <c:numRef>
              <c:f>Ratesharegraph!$D$4:$D$356</c:f>
              <c:numCache>
                <c:formatCode>0.0%</c:formatCode>
                <c:ptCount val="353"/>
                <c:pt idx="0">
                  <c:v>3.2177133846387783E-2</c:v>
                </c:pt>
                <c:pt idx="1">
                  <c:v>3.7556893898608508E-2</c:v>
                </c:pt>
                <c:pt idx="2">
                  <c:v>4.0884043647822742E-2</c:v>
                </c:pt>
                <c:pt idx="3">
                  <c:v>4.0898487214891324E-2</c:v>
                </c:pt>
                <c:pt idx="4">
                  <c:v>4.4337482575783599E-2</c:v>
                </c:pt>
                <c:pt idx="5">
                  <c:v>4.4811333809280395E-2</c:v>
                </c:pt>
                <c:pt idx="6">
                  <c:v>4.6369080769239811E-2</c:v>
                </c:pt>
                <c:pt idx="7">
                  <c:v>4.6973408354482299E-2</c:v>
                </c:pt>
                <c:pt idx="8">
                  <c:v>4.733804696047457E-2</c:v>
                </c:pt>
                <c:pt idx="9">
                  <c:v>4.884919610462142E-2</c:v>
                </c:pt>
                <c:pt idx="10">
                  <c:v>5.031696699141696E-2</c:v>
                </c:pt>
                <c:pt idx="11">
                  <c:v>5.2877108342907098E-2</c:v>
                </c:pt>
                <c:pt idx="12">
                  <c:v>5.2923941250861722E-2</c:v>
                </c:pt>
                <c:pt idx="13">
                  <c:v>5.3154318236958556E-2</c:v>
                </c:pt>
                <c:pt idx="14">
                  <c:v>5.4791667906364978E-2</c:v>
                </c:pt>
                <c:pt idx="15">
                  <c:v>5.5178093817163598E-2</c:v>
                </c:pt>
                <c:pt idx="16">
                  <c:v>5.6094384212185142E-2</c:v>
                </c:pt>
                <c:pt idx="17">
                  <c:v>5.6262178128931598E-2</c:v>
                </c:pt>
                <c:pt idx="18">
                  <c:v>5.7859151895999834E-2</c:v>
                </c:pt>
                <c:pt idx="19">
                  <c:v>5.7985859862471296E-2</c:v>
                </c:pt>
                <c:pt idx="20">
                  <c:v>6.0205653248227596E-2</c:v>
                </c:pt>
                <c:pt idx="21">
                  <c:v>6.242789794551986E-2</c:v>
                </c:pt>
                <c:pt idx="22">
                  <c:v>6.4312794169684273E-2</c:v>
                </c:pt>
                <c:pt idx="23">
                  <c:v>6.6045304193598206E-2</c:v>
                </c:pt>
                <c:pt idx="24">
                  <c:v>6.6045814671462408E-2</c:v>
                </c:pt>
                <c:pt idx="25">
                  <c:v>6.8515947388392506E-2</c:v>
                </c:pt>
                <c:pt idx="26">
                  <c:v>6.9074581470466315E-2</c:v>
                </c:pt>
                <c:pt idx="27">
                  <c:v>6.997551068043896E-2</c:v>
                </c:pt>
                <c:pt idx="28">
                  <c:v>8.6703080076008229E-2</c:v>
                </c:pt>
                <c:pt idx="29">
                  <c:v>8.8309758109928416E-2</c:v>
                </c:pt>
                <c:pt idx="30">
                  <c:v>8.968738401383175E-2</c:v>
                </c:pt>
                <c:pt idx="31">
                  <c:v>9.0912342268251234E-2</c:v>
                </c:pt>
                <c:pt idx="32">
                  <c:v>9.5908813621833136E-2</c:v>
                </c:pt>
                <c:pt idx="33">
                  <c:v>0.10267936779494355</c:v>
                </c:pt>
                <c:pt idx="34">
                  <c:v>0.10568070899284787</c:v>
                </c:pt>
                <c:pt idx="36">
                  <c:v>0.12078492950594405</c:v>
                </c:pt>
                <c:pt idx="37">
                  <c:v>0.12270700150310217</c:v>
                </c:pt>
                <c:pt idx="38">
                  <c:v>0.12361283193225514</c:v>
                </c:pt>
                <c:pt idx="39">
                  <c:v>0.12638306978066505</c:v>
                </c:pt>
                <c:pt idx="40">
                  <c:v>0.12666931984949101</c:v>
                </c:pt>
                <c:pt idx="41">
                  <c:v>0.1287279239037846</c:v>
                </c:pt>
                <c:pt idx="42">
                  <c:v>0.13258204403129006</c:v>
                </c:pt>
                <c:pt idx="44">
                  <c:v>0.13302188182058181</c:v>
                </c:pt>
                <c:pt idx="45">
                  <c:v>0.13778045194834826</c:v>
                </c:pt>
                <c:pt idx="47">
                  <c:v>0.14109751553276625</c:v>
                </c:pt>
                <c:pt idx="48">
                  <c:v>0.1427751354206431</c:v>
                </c:pt>
                <c:pt idx="51">
                  <c:v>0.15176782283909646</c:v>
                </c:pt>
                <c:pt idx="54">
                  <c:v>0.16047129008693337</c:v>
                </c:pt>
                <c:pt idx="55">
                  <c:v>0.1630899278899646</c:v>
                </c:pt>
                <c:pt idx="56">
                  <c:v>0.1634043022504218</c:v>
                </c:pt>
                <c:pt idx="57">
                  <c:v>0.16655560244790085</c:v>
                </c:pt>
                <c:pt idx="58">
                  <c:v>0.16679749279882275</c:v>
                </c:pt>
                <c:pt idx="60">
                  <c:v>0.17081779530710028</c:v>
                </c:pt>
                <c:pt idx="62">
                  <c:v>0.17284176601884663</c:v>
                </c:pt>
                <c:pt idx="63">
                  <c:v>0.17372618833005424</c:v>
                </c:pt>
                <c:pt idx="65">
                  <c:v>0.17684062899920747</c:v>
                </c:pt>
                <c:pt idx="66">
                  <c:v>0.17834557294494516</c:v>
                </c:pt>
                <c:pt idx="71">
                  <c:v>0.18550931797538839</c:v>
                </c:pt>
                <c:pt idx="72">
                  <c:v>0.18591989772671549</c:v>
                </c:pt>
                <c:pt idx="74">
                  <c:v>0.18847449769747732</c:v>
                </c:pt>
                <c:pt idx="75">
                  <c:v>0.18930315835669492</c:v>
                </c:pt>
                <c:pt idx="82">
                  <c:v>0.1971322088966827</c:v>
                </c:pt>
                <c:pt idx="87">
                  <c:v>0.20146707097202846</c:v>
                </c:pt>
                <c:pt idx="88">
                  <c:v>0.20503156541946296</c:v>
                </c:pt>
                <c:pt idx="91">
                  <c:v>0.21532938341562513</c:v>
                </c:pt>
                <c:pt idx="92">
                  <c:v>0.21594848141362663</c:v>
                </c:pt>
                <c:pt idx="93">
                  <c:v>0.21844880383740251</c:v>
                </c:pt>
                <c:pt idx="94">
                  <c:v>0.21968113340049999</c:v>
                </c:pt>
                <c:pt idx="100">
                  <c:v>0.23279226182983542</c:v>
                </c:pt>
                <c:pt idx="101">
                  <c:v>0.2338257233632772</c:v>
                </c:pt>
                <c:pt idx="103">
                  <c:v>0.23706576566349474</c:v>
                </c:pt>
                <c:pt idx="105">
                  <c:v>0.24228061819415819</c:v>
                </c:pt>
                <c:pt idx="106">
                  <c:v>0.24361709776560811</c:v>
                </c:pt>
                <c:pt idx="107">
                  <c:v>0.24533109237000228</c:v>
                </c:pt>
                <c:pt idx="109">
                  <c:v>0.24884333118532209</c:v>
                </c:pt>
                <c:pt idx="110">
                  <c:v>0.25198598850509524</c:v>
                </c:pt>
                <c:pt idx="112">
                  <c:v>0.25463721124181143</c:v>
                </c:pt>
                <c:pt idx="113">
                  <c:v>0.2553674143370116</c:v>
                </c:pt>
                <c:pt idx="116">
                  <c:v>0.2600571330436276</c:v>
                </c:pt>
                <c:pt idx="117">
                  <c:v>0.26348488834742978</c:v>
                </c:pt>
                <c:pt idx="118">
                  <c:v>0.27211260719574742</c:v>
                </c:pt>
                <c:pt idx="119">
                  <c:v>0.2740315958782073</c:v>
                </c:pt>
                <c:pt idx="121">
                  <c:v>0.27893393158752211</c:v>
                </c:pt>
                <c:pt idx="124">
                  <c:v>0.29838297493381166</c:v>
                </c:pt>
                <c:pt idx="125">
                  <c:v>0.30979065606489103</c:v>
                </c:pt>
                <c:pt idx="126">
                  <c:v>0.31059048102019798</c:v>
                </c:pt>
                <c:pt idx="128">
                  <c:v>0.33305916464181584</c:v>
                </c:pt>
                <c:pt idx="129">
                  <c:v>0.33447430382228022</c:v>
                </c:pt>
                <c:pt idx="131">
                  <c:v>0.34753559380153215</c:v>
                </c:pt>
                <c:pt idx="132">
                  <c:v>0.35100856765619565</c:v>
                </c:pt>
                <c:pt idx="133">
                  <c:v>0.3546097418777549</c:v>
                </c:pt>
                <c:pt idx="134">
                  <c:v>0.3559881760101164</c:v>
                </c:pt>
                <c:pt idx="136">
                  <c:v>0.37273284445988319</c:v>
                </c:pt>
                <c:pt idx="137">
                  <c:v>0.37493695839093821</c:v>
                </c:pt>
                <c:pt idx="138">
                  <c:v>0.38472200118884925</c:v>
                </c:pt>
                <c:pt idx="140">
                  <c:v>0.39396812554480504</c:v>
                </c:pt>
                <c:pt idx="141">
                  <c:v>0.39623852072154925</c:v>
                </c:pt>
                <c:pt idx="142">
                  <c:v>0.41300336023308754</c:v>
                </c:pt>
                <c:pt idx="143">
                  <c:v>0.45098499356146987</c:v>
                </c:pt>
                <c:pt idx="144">
                  <c:v>0.46215273301830095</c:v>
                </c:pt>
                <c:pt idx="145">
                  <c:v>0.47189238095314512</c:v>
                </c:pt>
                <c:pt idx="146">
                  <c:v>0.4866109360082283</c:v>
                </c:pt>
                <c:pt idx="147">
                  <c:v>0.50045282835605398</c:v>
                </c:pt>
                <c:pt idx="148">
                  <c:v>0.50943920311564928</c:v>
                </c:pt>
                <c:pt idx="149">
                  <c:v>0.52932040359541954</c:v>
                </c:pt>
                <c:pt idx="150">
                  <c:v>0.53966491467090305</c:v>
                </c:pt>
                <c:pt idx="151">
                  <c:v>0.54093850863994453</c:v>
                </c:pt>
                <c:pt idx="152">
                  <c:v>0.54304066548449059</c:v>
                </c:pt>
                <c:pt idx="153">
                  <c:v>0.55056005166505506</c:v>
                </c:pt>
                <c:pt idx="154">
                  <c:v>0.55475197585215752</c:v>
                </c:pt>
                <c:pt idx="155">
                  <c:v>0.58138389760013542</c:v>
                </c:pt>
                <c:pt idx="156">
                  <c:v>0.58207735831515162</c:v>
                </c:pt>
                <c:pt idx="157">
                  <c:v>0.58746610318889447</c:v>
                </c:pt>
                <c:pt idx="158">
                  <c:v>0.59049336547829012</c:v>
                </c:pt>
                <c:pt idx="159">
                  <c:v>0.60359497730777456</c:v>
                </c:pt>
                <c:pt idx="160">
                  <c:v>0.60386474165228965</c:v>
                </c:pt>
                <c:pt idx="161">
                  <c:v>0.61297997947368299</c:v>
                </c:pt>
                <c:pt idx="162">
                  <c:v>0.61866110287701381</c:v>
                </c:pt>
                <c:pt idx="163">
                  <c:v>0.61872574575238692</c:v>
                </c:pt>
                <c:pt idx="164">
                  <c:v>0.63963851388749238</c:v>
                </c:pt>
                <c:pt idx="165">
                  <c:v>0.64438148058700562</c:v>
                </c:pt>
                <c:pt idx="166">
                  <c:v>0.65972506337848891</c:v>
                </c:pt>
                <c:pt idx="167">
                  <c:v>0.67688668393997753</c:v>
                </c:pt>
                <c:pt idx="168">
                  <c:v>0.68072867385261371</c:v>
                </c:pt>
                <c:pt idx="169">
                  <c:v>0.68730316320900686</c:v>
                </c:pt>
                <c:pt idx="170">
                  <c:v>0.69087344242999016</c:v>
                </c:pt>
                <c:pt idx="171">
                  <c:v>0.69179239316325936</c:v>
                </c:pt>
                <c:pt idx="172">
                  <c:v>0.69605462104742433</c:v>
                </c:pt>
                <c:pt idx="173">
                  <c:v>0.70614287966463973</c:v>
                </c:pt>
                <c:pt idx="174">
                  <c:v>0.70849314129186236</c:v>
                </c:pt>
                <c:pt idx="175">
                  <c:v>0.72016380662743307</c:v>
                </c:pt>
                <c:pt idx="176">
                  <c:v>0.72104706542028429</c:v>
                </c:pt>
                <c:pt idx="177">
                  <c:v>0.72459551885287921</c:v>
                </c:pt>
                <c:pt idx="178">
                  <c:v>0.72768753529382546</c:v>
                </c:pt>
                <c:pt idx="179">
                  <c:v>0.74507054411263252</c:v>
                </c:pt>
                <c:pt idx="180">
                  <c:v>0.74938151379569351</c:v>
                </c:pt>
                <c:pt idx="181">
                  <c:v>0.75275123627173446</c:v>
                </c:pt>
                <c:pt idx="182">
                  <c:v>0.75688905267008977</c:v>
                </c:pt>
                <c:pt idx="183">
                  <c:v>0.75717114220272186</c:v>
                </c:pt>
                <c:pt idx="184">
                  <c:v>0.7634139146572706</c:v>
                </c:pt>
                <c:pt idx="185">
                  <c:v>0.76791737767440071</c:v>
                </c:pt>
                <c:pt idx="186">
                  <c:v>0.76986969338071676</c:v>
                </c:pt>
                <c:pt idx="187">
                  <c:v>0.7720375600411884</c:v>
                </c:pt>
                <c:pt idx="188">
                  <c:v>0.77748374569579537</c:v>
                </c:pt>
                <c:pt idx="189">
                  <c:v>0.77887341460272141</c:v>
                </c:pt>
                <c:pt idx="190">
                  <c:v>0.78227678546998325</c:v>
                </c:pt>
                <c:pt idx="191">
                  <c:v>0.79467011000641874</c:v>
                </c:pt>
                <c:pt idx="192">
                  <c:v>0.7994675018452202</c:v>
                </c:pt>
                <c:pt idx="193">
                  <c:v>0.79989667582987456</c:v>
                </c:pt>
                <c:pt idx="194">
                  <c:v>0.80207009356646841</c:v>
                </c:pt>
                <c:pt idx="195">
                  <c:v>0.81293347627476986</c:v>
                </c:pt>
                <c:pt idx="196">
                  <c:v>0.81687957238350717</c:v>
                </c:pt>
                <c:pt idx="197">
                  <c:v>0.82009238294578501</c:v>
                </c:pt>
                <c:pt idx="198">
                  <c:v>0.8214171817665249</c:v>
                </c:pt>
                <c:pt idx="199">
                  <c:v>0.82794585739572002</c:v>
                </c:pt>
                <c:pt idx="200">
                  <c:v>0.83052091801872041</c:v>
                </c:pt>
                <c:pt idx="201">
                  <c:v>0.84115017937043979</c:v>
                </c:pt>
                <c:pt idx="202">
                  <c:v>0.84372762396374368</c:v>
                </c:pt>
                <c:pt idx="203">
                  <c:v>0.84407670378966615</c:v>
                </c:pt>
                <c:pt idx="204">
                  <c:v>0.85073071761460595</c:v>
                </c:pt>
                <c:pt idx="205">
                  <c:v>0.85125506884049051</c:v>
                </c:pt>
                <c:pt idx="206">
                  <c:v>0.85267969642991792</c:v>
                </c:pt>
                <c:pt idx="207">
                  <c:v>0.86136831738188657</c:v>
                </c:pt>
                <c:pt idx="208">
                  <c:v>0.86575865824338294</c:v>
                </c:pt>
                <c:pt idx="209">
                  <c:v>0.88727770436397846</c:v>
                </c:pt>
                <c:pt idx="210">
                  <c:v>0.89587117122426396</c:v>
                </c:pt>
                <c:pt idx="211">
                  <c:v>0.89864423910796376</c:v>
                </c:pt>
                <c:pt idx="212">
                  <c:v>0.90277053449161082</c:v>
                </c:pt>
                <c:pt idx="213">
                  <c:v>0.90753658948255456</c:v>
                </c:pt>
                <c:pt idx="214">
                  <c:v>0.90930465938180727</c:v>
                </c:pt>
                <c:pt idx="215">
                  <c:v>0.91090893706032672</c:v>
                </c:pt>
                <c:pt idx="216">
                  <c:v>0.91125647993501735</c:v>
                </c:pt>
                <c:pt idx="217">
                  <c:v>0.91329999557187602</c:v>
                </c:pt>
                <c:pt idx="218">
                  <c:v>0.91493847495989955</c:v>
                </c:pt>
                <c:pt idx="219">
                  <c:v>0.92138453121899766</c:v>
                </c:pt>
                <c:pt idx="220">
                  <c:v>0.92322588149854545</c:v>
                </c:pt>
                <c:pt idx="221">
                  <c:v>0.93398725934594751</c:v>
                </c:pt>
                <c:pt idx="222">
                  <c:v>0.93555889373092693</c:v>
                </c:pt>
                <c:pt idx="223">
                  <c:v>0.93753001604437891</c:v>
                </c:pt>
                <c:pt idx="224">
                  <c:v>0.94235240986983049</c:v>
                </c:pt>
                <c:pt idx="225">
                  <c:v>0.94246532681473749</c:v>
                </c:pt>
                <c:pt idx="226">
                  <c:v>0.94295601372828808</c:v>
                </c:pt>
                <c:pt idx="227">
                  <c:v>0.94337770889186767</c:v>
                </c:pt>
                <c:pt idx="228">
                  <c:v>0.95351078809180834</c:v>
                </c:pt>
                <c:pt idx="229">
                  <c:v>0.96042269604492647</c:v>
                </c:pt>
                <c:pt idx="230">
                  <c:v>0.96107687935988606</c:v>
                </c:pt>
                <c:pt idx="231">
                  <c:v>0.96360862875602538</c:v>
                </c:pt>
                <c:pt idx="232">
                  <c:v>0.97213478089634753</c:v>
                </c:pt>
                <c:pt idx="233">
                  <c:v>0.97282497770860543</c:v>
                </c:pt>
                <c:pt idx="234">
                  <c:v>0.97760951554868147</c:v>
                </c:pt>
                <c:pt idx="235">
                  <c:v>0.98120754961575973</c:v>
                </c:pt>
                <c:pt idx="236">
                  <c:v>0.98164774165001545</c:v>
                </c:pt>
                <c:pt idx="237">
                  <c:v>0.98502408285359244</c:v>
                </c:pt>
                <c:pt idx="238">
                  <c:v>0.9939401855542247</c:v>
                </c:pt>
                <c:pt idx="239">
                  <c:v>0.9969140522704828</c:v>
                </c:pt>
                <c:pt idx="240">
                  <c:v>1.0003846420574107</c:v>
                </c:pt>
                <c:pt idx="241">
                  <c:v>1.0022121239691248</c:v>
                </c:pt>
                <c:pt idx="242">
                  <c:v>1.0038661770177859</c:v>
                </c:pt>
                <c:pt idx="243">
                  <c:v>1.0113581630842603</c:v>
                </c:pt>
                <c:pt idx="244">
                  <c:v>1.0120369624102385</c:v>
                </c:pt>
                <c:pt idx="245">
                  <c:v>1.014611831465789</c:v>
                </c:pt>
                <c:pt idx="246">
                  <c:v>1.0155055535335342</c:v>
                </c:pt>
                <c:pt idx="247">
                  <c:v>1.025494487757747</c:v>
                </c:pt>
                <c:pt idx="248">
                  <c:v>1.0304595534229692</c:v>
                </c:pt>
                <c:pt idx="249">
                  <c:v>1.0305833918914356</c:v>
                </c:pt>
                <c:pt idx="250">
                  <c:v>1.0364063112193787</c:v>
                </c:pt>
                <c:pt idx="251">
                  <c:v>1.0367481299748329</c:v>
                </c:pt>
                <c:pt idx="252">
                  <c:v>1.0385599569169783</c:v>
                </c:pt>
                <c:pt idx="253">
                  <c:v>1.0579029613273634</c:v>
                </c:pt>
                <c:pt idx="254">
                  <c:v>1.0598782381352161</c:v>
                </c:pt>
                <c:pt idx="255">
                  <c:v>1.0627531861540684</c:v>
                </c:pt>
                <c:pt idx="256">
                  <c:v>1.0638678692055283</c:v>
                </c:pt>
                <c:pt idx="257">
                  <c:v>1.0647828929483993</c:v>
                </c:pt>
                <c:pt idx="258">
                  <c:v>1.0678283068393479</c:v>
                </c:pt>
                <c:pt idx="259">
                  <c:v>1.0824173148078315</c:v>
                </c:pt>
                <c:pt idx="260">
                  <c:v>1.0990505689475867</c:v>
                </c:pt>
                <c:pt idx="261">
                  <c:v>1.1033954437789995</c:v>
                </c:pt>
                <c:pt idx="262">
                  <c:v>1.1106876226328775</c:v>
                </c:pt>
                <c:pt idx="263">
                  <c:v>1.1143134433315596</c:v>
                </c:pt>
                <c:pt idx="264">
                  <c:v>1.1204969382748309</c:v>
                </c:pt>
                <c:pt idx="265">
                  <c:v>1.1241579126291599</c:v>
                </c:pt>
                <c:pt idx="266">
                  <c:v>1.1268079912818512</c:v>
                </c:pt>
                <c:pt idx="267">
                  <c:v>1.149615988616169</c:v>
                </c:pt>
                <c:pt idx="268">
                  <c:v>1.1752352162581174</c:v>
                </c:pt>
                <c:pt idx="269">
                  <c:v>1.1896054187205729</c:v>
                </c:pt>
                <c:pt idx="270">
                  <c:v>1.1936698531058783</c:v>
                </c:pt>
                <c:pt idx="271">
                  <c:v>1.2022129825611574</c:v>
                </c:pt>
                <c:pt idx="272">
                  <c:v>1.2038181129781029</c:v>
                </c:pt>
                <c:pt idx="273">
                  <c:v>1.2152532738447914</c:v>
                </c:pt>
                <c:pt idx="274">
                  <c:v>1.2264930911504961</c:v>
                </c:pt>
                <c:pt idx="275">
                  <c:v>1.2360602464831898</c:v>
                </c:pt>
                <c:pt idx="276">
                  <c:v>1.2392153728438113</c:v>
                </c:pt>
                <c:pt idx="277">
                  <c:v>1.2432906099593628</c:v>
                </c:pt>
                <c:pt idx="278">
                  <c:v>1.263912911452779</c:v>
                </c:pt>
                <c:pt idx="279">
                  <c:v>1.2679346206486004</c:v>
                </c:pt>
                <c:pt idx="280">
                  <c:v>1.2707524008424465</c:v>
                </c:pt>
                <c:pt idx="281">
                  <c:v>1.2739918569764659</c:v>
                </c:pt>
                <c:pt idx="282">
                  <c:v>1.2762505157672435</c:v>
                </c:pt>
                <c:pt idx="283">
                  <c:v>1.2768133379762008</c:v>
                </c:pt>
                <c:pt idx="284">
                  <c:v>1.2797539081746574</c:v>
                </c:pt>
                <c:pt idx="285">
                  <c:v>1.2831942477743699</c:v>
                </c:pt>
                <c:pt idx="286">
                  <c:v>1.2882899833563446</c:v>
                </c:pt>
                <c:pt idx="287">
                  <c:v>1.295961943023374</c:v>
                </c:pt>
                <c:pt idx="288">
                  <c:v>1.2999757530981539</c:v>
                </c:pt>
                <c:pt idx="289">
                  <c:v>1.3061508506922999</c:v>
                </c:pt>
                <c:pt idx="290">
                  <c:v>1.3130586668118813</c:v>
                </c:pt>
                <c:pt idx="291">
                  <c:v>1.3236661004512174</c:v>
                </c:pt>
                <c:pt idx="292">
                  <c:v>1.3273658040740959</c:v>
                </c:pt>
                <c:pt idx="293">
                  <c:v>1.335097440706609</c:v>
                </c:pt>
                <c:pt idx="294">
                  <c:v>1.3389862346170673</c:v>
                </c:pt>
                <c:pt idx="295">
                  <c:v>1.3404311068324724</c:v>
                </c:pt>
                <c:pt idx="296">
                  <c:v>1.3628425872688947</c:v>
                </c:pt>
                <c:pt idx="297">
                  <c:v>1.3852130073579081</c:v>
                </c:pt>
                <c:pt idx="298">
                  <c:v>1.3951416629128326</c:v>
                </c:pt>
                <c:pt idx="299">
                  <c:v>1.4015624302281398</c:v>
                </c:pt>
                <c:pt idx="300">
                  <c:v>1.4038984222973843</c:v>
                </c:pt>
                <c:pt idx="301">
                  <c:v>1.4075330739249574</c:v>
                </c:pt>
                <c:pt idx="302">
                  <c:v>1.4088747857157968</c:v>
                </c:pt>
                <c:pt idx="303">
                  <c:v>1.4203314896481054</c:v>
                </c:pt>
                <c:pt idx="304">
                  <c:v>1.4228442350118182</c:v>
                </c:pt>
                <c:pt idx="305">
                  <c:v>1.4268188800837445</c:v>
                </c:pt>
                <c:pt idx="306">
                  <c:v>1.4272162730041722</c:v>
                </c:pt>
                <c:pt idx="307">
                  <c:v>1.4289550458079838</c:v>
                </c:pt>
                <c:pt idx="308">
                  <c:v>1.4354264646950474</c:v>
                </c:pt>
                <c:pt idx="309">
                  <c:v>1.4573511961800301</c:v>
                </c:pt>
                <c:pt idx="310">
                  <c:v>1.4806404725657529</c:v>
                </c:pt>
                <c:pt idx="311">
                  <c:v>1.4920000973611707</c:v>
                </c:pt>
                <c:pt idx="312">
                  <c:v>1.4972857194867812</c:v>
                </c:pt>
                <c:pt idx="313">
                  <c:v>1.506304737260447</c:v>
                </c:pt>
                <c:pt idx="314">
                  <c:v>1.5253051925971213</c:v>
                </c:pt>
                <c:pt idx="315">
                  <c:v>1.5449422404827824</c:v>
                </c:pt>
                <c:pt idx="316">
                  <c:v>1.5655023904662004</c:v>
                </c:pt>
                <c:pt idx="317">
                  <c:v>1.5669349530174457</c:v>
                </c:pt>
                <c:pt idx="318">
                  <c:v>1.5700638037742198</c:v>
                </c:pt>
                <c:pt idx="319">
                  <c:v>1.5763423297154635</c:v>
                </c:pt>
                <c:pt idx="320">
                  <c:v>1.5885917752197407</c:v>
                </c:pt>
                <c:pt idx="321">
                  <c:v>1.5936815167188521</c:v>
                </c:pt>
                <c:pt idx="322">
                  <c:v>1.5937351500369035</c:v>
                </c:pt>
                <c:pt idx="323">
                  <c:v>1.5959964566272922</c:v>
                </c:pt>
                <c:pt idx="324">
                  <c:v>1.598761525303307</c:v>
                </c:pt>
                <c:pt idx="325">
                  <c:v>1.6009311659261083</c:v>
                </c:pt>
                <c:pt idx="326">
                  <c:v>1.610246512678879</c:v>
                </c:pt>
                <c:pt idx="327">
                  <c:v>1.612274905908633</c:v>
                </c:pt>
                <c:pt idx="328">
                  <c:v>1.6318454615400446</c:v>
                </c:pt>
                <c:pt idx="329">
                  <c:v>1.6327846057796209</c:v>
                </c:pt>
                <c:pt idx="330">
                  <c:v>1.6725131815992691</c:v>
                </c:pt>
                <c:pt idx="331">
                  <c:v>1.6731291756488662</c:v>
                </c:pt>
                <c:pt idx="332">
                  <c:v>1.6818530089831814</c:v>
                </c:pt>
                <c:pt idx="333">
                  <c:v>1.7028031577216822</c:v>
                </c:pt>
                <c:pt idx="334">
                  <c:v>1.7374233405396593</c:v>
                </c:pt>
                <c:pt idx="335">
                  <c:v>1.7589763535987799</c:v>
                </c:pt>
                <c:pt idx="336">
                  <c:v>1.7690585073968168</c:v>
                </c:pt>
                <c:pt idx="337">
                  <c:v>1.7759962957098412</c:v>
                </c:pt>
                <c:pt idx="338">
                  <c:v>1.7784964758766979</c:v>
                </c:pt>
                <c:pt idx="339">
                  <c:v>1.7787569369942848</c:v>
                </c:pt>
                <c:pt idx="340">
                  <c:v>1.795433558159675</c:v>
                </c:pt>
                <c:pt idx="341">
                  <c:v>1.8345729021737147</c:v>
                </c:pt>
                <c:pt idx="342">
                  <c:v>1.8712165191227359</c:v>
                </c:pt>
                <c:pt idx="343">
                  <c:v>1.8908397422876932</c:v>
                </c:pt>
                <c:pt idx="344">
                  <c:v>1.8922256441667442</c:v>
                </c:pt>
                <c:pt idx="345">
                  <c:v>1.9285238763392938</c:v>
                </c:pt>
                <c:pt idx="346">
                  <c:v>2.0278263438243771</c:v>
                </c:pt>
                <c:pt idx="347">
                  <c:v>2.0688849107774332</c:v>
                </c:pt>
                <c:pt idx="348">
                  <c:v>2.0969429171672265</c:v>
                </c:pt>
                <c:pt idx="349">
                  <c:v>2.1086449805080911</c:v>
                </c:pt>
                <c:pt idx="350">
                  <c:v>2.5441691030860136</c:v>
                </c:pt>
                <c:pt idx="351">
                  <c:v>2.7097052053563839</c:v>
                </c:pt>
                <c:pt idx="352">
                  <c:v>3.4108103959546798</c:v>
                </c:pt>
              </c:numCache>
            </c:numRef>
          </c:val>
        </c:ser>
        <c:ser>
          <c:idx val="1"/>
          <c:order val="1"/>
          <c:tx>
            <c:v>SIGOMA</c:v>
          </c:tx>
          <c:invertIfNegative val="0"/>
          <c:val>
            <c:numRef>
              <c:f>Ratesharegraph!$E$4:$E$356</c:f>
              <c:numCache>
                <c:formatCode>General</c:formatCode>
                <c:ptCount val="353"/>
                <c:pt idx="35" formatCode="0.0%">
                  <c:v>0.11467487084780964</c:v>
                </c:pt>
                <c:pt idx="43" formatCode="0.0%">
                  <c:v>0.13269201532154906</c:v>
                </c:pt>
                <c:pt idx="46" formatCode="0.0%">
                  <c:v>0.14041262237150628</c:v>
                </c:pt>
                <c:pt idx="49" formatCode="0.0%">
                  <c:v>0.14395865599653115</c:v>
                </c:pt>
                <c:pt idx="50" formatCode="0.0%">
                  <c:v>0.14774819572141701</c:v>
                </c:pt>
                <c:pt idx="52" formatCode="0.0%">
                  <c:v>0.15862889659251439</c:v>
                </c:pt>
                <c:pt idx="53" formatCode="0.0%">
                  <c:v>0.15972421806425938</c:v>
                </c:pt>
                <c:pt idx="59" formatCode="0.0%">
                  <c:v>0.16741389458813016</c:v>
                </c:pt>
                <c:pt idx="61" formatCode="0.0%">
                  <c:v>0.17198536151678689</c:v>
                </c:pt>
                <c:pt idx="64" formatCode="0.0%">
                  <c:v>0.1754041013605751</c:v>
                </c:pt>
                <c:pt idx="67" formatCode="0.0%">
                  <c:v>0.17885854840735793</c:v>
                </c:pt>
                <c:pt idx="68" formatCode="0.0%">
                  <c:v>0.17915728348892856</c:v>
                </c:pt>
                <c:pt idx="69" formatCode="0.0%">
                  <c:v>0.17979193337789742</c:v>
                </c:pt>
                <c:pt idx="70" formatCode="0.0%">
                  <c:v>0.18435107524577601</c:v>
                </c:pt>
                <c:pt idx="73" formatCode="0.0%">
                  <c:v>0.18720888565474844</c:v>
                </c:pt>
                <c:pt idx="76" formatCode="0.0%">
                  <c:v>0.1896362506707639</c:v>
                </c:pt>
                <c:pt idx="77" formatCode="0.0%">
                  <c:v>0.19035419965430345</c:v>
                </c:pt>
                <c:pt idx="78" formatCode="0.0%">
                  <c:v>0.19119968113138844</c:v>
                </c:pt>
                <c:pt idx="79" formatCode="0.0%">
                  <c:v>0.19389012881466577</c:v>
                </c:pt>
                <c:pt idx="80" formatCode="0.0%">
                  <c:v>0.19597854534006925</c:v>
                </c:pt>
                <c:pt idx="81" formatCode="0.0%">
                  <c:v>0.196703190068964</c:v>
                </c:pt>
                <c:pt idx="83" formatCode="0.0%">
                  <c:v>0.19796135411378671</c:v>
                </c:pt>
                <c:pt idx="84" formatCode="0.0%">
                  <c:v>0.19914652486782825</c:v>
                </c:pt>
                <c:pt idx="85" formatCode="0.0%">
                  <c:v>0.19945902167030335</c:v>
                </c:pt>
                <c:pt idx="86" formatCode="0.0%">
                  <c:v>0.20060757481499911</c:v>
                </c:pt>
                <c:pt idx="89" formatCode="0.0%">
                  <c:v>0.21273196544123335</c:v>
                </c:pt>
                <c:pt idx="90" formatCode="0.0%">
                  <c:v>0.21318232517015137</c:v>
                </c:pt>
                <c:pt idx="95" formatCode="0.0%">
                  <c:v>0.22002702745232874</c:v>
                </c:pt>
                <c:pt idx="96" formatCode="0.0%">
                  <c:v>0.22113887397648774</c:v>
                </c:pt>
                <c:pt idx="97" formatCode="0.0%">
                  <c:v>0.22159402713078719</c:v>
                </c:pt>
                <c:pt idx="98" formatCode="0.0%">
                  <c:v>0.2299262468533998</c:v>
                </c:pt>
                <c:pt idx="99" formatCode="0.0%">
                  <c:v>0.23143862499915566</c:v>
                </c:pt>
                <c:pt idx="102" formatCode="0.0%">
                  <c:v>0.23650060762096492</c:v>
                </c:pt>
                <c:pt idx="104" formatCode="0.0%">
                  <c:v>0.24202783415327647</c:v>
                </c:pt>
                <c:pt idx="108" formatCode="0.0%">
                  <c:v>0.24551976794521785</c:v>
                </c:pt>
                <c:pt idx="111" formatCode="0.0%">
                  <c:v>0.25265396111487343</c:v>
                </c:pt>
                <c:pt idx="114" formatCode="0.0%">
                  <c:v>0.25760468256292807</c:v>
                </c:pt>
                <c:pt idx="115" formatCode="0.0%">
                  <c:v>0.2590570163611236</c:v>
                </c:pt>
                <c:pt idx="120" formatCode="0.0%">
                  <c:v>0.27650260671578786</c:v>
                </c:pt>
                <c:pt idx="122" formatCode="0.0%">
                  <c:v>0.28337076499235947</c:v>
                </c:pt>
                <c:pt idx="123" formatCode="0.0%">
                  <c:v>0.28597355325269364</c:v>
                </c:pt>
                <c:pt idx="127" formatCode="0.0%">
                  <c:v>0.3140192772932221</c:v>
                </c:pt>
                <c:pt idx="130" formatCode="0.0%">
                  <c:v>0.3446373659638865</c:v>
                </c:pt>
                <c:pt idx="135" formatCode="0.0%">
                  <c:v>0.37231809537887706</c:v>
                </c:pt>
                <c:pt idx="139" formatCode="0.0%">
                  <c:v>0.39351088445594995</c:v>
                </c:pt>
              </c:numCache>
            </c:numRef>
          </c:val>
        </c:ser>
        <c:dLbls>
          <c:showLegendKey val="0"/>
          <c:showVal val="0"/>
          <c:showCatName val="0"/>
          <c:showSerName val="0"/>
          <c:showPercent val="0"/>
          <c:showBubbleSize val="0"/>
        </c:dLbls>
        <c:gapWidth val="0"/>
        <c:overlap val="100"/>
        <c:axId val="44080512"/>
        <c:axId val="44102784"/>
      </c:barChart>
      <c:catAx>
        <c:axId val="44080512"/>
        <c:scaling>
          <c:orientation val="minMax"/>
        </c:scaling>
        <c:delete val="1"/>
        <c:axPos val="b"/>
        <c:majorTickMark val="out"/>
        <c:minorTickMark val="none"/>
        <c:tickLblPos val="nextTo"/>
        <c:crossAx val="44102784"/>
        <c:crosses val="autoZero"/>
        <c:auto val="1"/>
        <c:lblAlgn val="ctr"/>
        <c:lblOffset val="100"/>
        <c:noMultiLvlLbl val="0"/>
      </c:catAx>
      <c:valAx>
        <c:axId val="44102784"/>
        <c:scaling>
          <c:orientation val="minMax"/>
        </c:scaling>
        <c:delete val="0"/>
        <c:axPos val="l"/>
        <c:majorGridlines/>
        <c:numFmt formatCode="0.0%" sourceLinked="1"/>
        <c:majorTickMark val="out"/>
        <c:minorTickMark val="none"/>
        <c:tickLblPos val="nextTo"/>
        <c:crossAx val="44080512"/>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7A87CFB-4FFF-41CB-A60B-B45BF06FC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2696</Words>
  <Characters>15369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BMBC</Company>
  <LinksUpToDate>false</LinksUpToDate>
  <CharactersWithSpaces>18029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Geoff</cp:lastModifiedBy>
  <cp:revision>5</cp:revision>
  <cp:lastPrinted>2016-01-27T16:10:00Z</cp:lastPrinted>
  <dcterms:created xsi:type="dcterms:W3CDTF">2016-02-01T16:29:00Z</dcterms:created>
  <dcterms:modified xsi:type="dcterms:W3CDTF">2016-02-01T16:48:00Z</dcterms:modified>
</cp:coreProperties>
</file>