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96" w:rsidRPr="003906C3" w:rsidRDefault="00C90912" w:rsidP="00EE6F7F">
      <w:pPr>
        <w:pStyle w:val="ListParagraph"/>
        <w:ind w:left="360"/>
        <w:jc w:val="both"/>
        <w:rPr>
          <w:rFonts w:ascii="Arial" w:hAnsi="Arial" w:cs="Arial"/>
          <w:b/>
          <w:color w:val="943634" w:themeColor="accent2" w:themeShade="BF"/>
          <w:sz w:val="32"/>
          <w:szCs w:val="32"/>
          <w:u w:val="single"/>
        </w:rPr>
      </w:pPr>
      <w:r w:rsidRPr="003906C3">
        <w:rPr>
          <w:rFonts w:ascii="Arial" w:hAnsi="Arial" w:cs="Arial"/>
          <w:b/>
          <w:color w:val="943634" w:themeColor="accent2" w:themeShade="BF"/>
          <w:sz w:val="32"/>
          <w:szCs w:val="32"/>
          <w:u w:val="single"/>
        </w:rPr>
        <w:t xml:space="preserve">SIGOMA </w:t>
      </w:r>
    </w:p>
    <w:p w:rsidR="00296496" w:rsidRPr="003906C3" w:rsidRDefault="00296496" w:rsidP="00C560F7">
      <w:pPr>
        <w:jc w:val="both"/>
        <w:rPr>
          <w:rFonts w:ascii="Arial" w:hAnsi="Arial" w:cs="Arial"/>
          <w:b/>
          <w:color w:val="943634" w:themeColor="accent2" w:themeShade="BF"/>
          <w:sz w:val="32"/>
          <w:szCs w:val="32"/>
          <w:u w:val="single"/>
        </w:rPr>
      </w:pPr>
    </w:p>
    <w:p w:rsidR="00C90912" w:rsidRPr="003906C3" w:rsidRDefault="00C90912" w:rsidP="00EE6F7F">
      <w:pPr>
        <w:pStyle w:val="ListParagraph"/>
        <w:ind w:left="360"/>
        <w:jc w:val="both"/>
        <w:rPr>
          <w:rFonts w:ascii="Arial" w:hAnsi="Arial" w:cs="Arial"/>
          <w:b/>
          <w:sz w:val="32"/>
          <w:szCs w:val="32"/>
          <w:u w:val="single"/>
        </w:rPr>
      </w:pPr>
      <w:r w:rsidRPr="003906C3">
        <w:rPr>
          <w:rFonts w:ascii="Arial" w:hAnsi="Arial" w:cs="Arial"/>
          <w:b/>
          <w:color w:val="943634" w:themeColor="accent2" w:themeShade="BF"/>
          <w:sz w:val="32"/>
          <w:szCs w:val="32"/>
          <w:u w:val="single"/>
        </w:rPr>
        <w:t xml:space="preserve">Submission to </w:t>
      </w:r>
      <w:r w:rsidR="00264891" w:rsidRPr="003906C3">
        <w:rPr>
          <w:rFonts w:ascii="Arial" w:hAnsi="Arial" w:cs="Arial"/>
          <w:b/>
          <w:color w:val="943634" w:themeColor="accent2" w:themeShade="BF"/>
          <w:sz w:val="32"/>
          <w:szCs w:val="32"/>
          <w:u w:val="single"/>
        </w:rPr>
        <w:t>DCLG technical enquiry on New Homes Bonus</w:t>
      </w:r>
    </w:p>
    <w:p w:rsidR="00C90912" w:rsidRPr="003906C3" w:rsidRDefault="00C90912" w:rsidP="00C560F7">
      <w:pPr>
        <w:jc w:val="both"/>
        <w:rPr>
          <w:rFonts w:ascii="Arial" w:hAnsi="Arial" w:cs="Arial"/>
          <w:sz w:val="24"/>
          <w:szCs w:val="24"/>
        </w:rPr>
      </w:pPr>
    </w:p>
    <w:p w:rsidR="00E63A62" w:rsidRPr="003906C3" w:rsidRDefault="00E63A62" w:rsidP="00E63A62">
      <w:pPr>
        <w:pStyle w:val="BodyText3"/>
        <w:ind w:left="502"/>
        <w:jc w:val="both"/>
        <w:rPr>
          <w:rFonts w:ascii="Arial" w:hAnsi="Arial" w:cs="Arial"/>
          <w:b w:val="0"/>
          <w:i w:val="0"/>
          <w:szCs w:val="24"/>
          <w:lang w:val="en-GB"/>
        </w:rPr>
      </w:pPr>
    </w:p>
    <w:p w:rsidR="00E63A62" w:rsidRPr="003906C3" w:rsidRDefault="00E63A62" w:rsidP="002B76F7">
      <w:pPr>
        <w:pStyle w:val="BodyText3"/>
        <w:numPr>
          <w:ilvl w:val="0"/>
          <w:numId w:val="17"/>
        </w:numPr>
        <w:jc w:val="both"/>
        <w:rPr>
          <w:rFonts w:ascii="Arial" w:hAnsi="Arial" w:cs="Arial"/>
          <w:i w:val="0"/>
          <w:color w:val="943634" w:themeColor="accent2" w:themeShade="BF"/>
          <w:sz w:val="28"/>
          <w:szCs w:val="28"/>
          <w:lang w:val="en-GB"/>
        </w:rPr>
      </w:pPr>
      <w:r w:rsidRPr="003906C3">
        <w:rPr>
          <w:rFonts w:ascii="Arial" w:hAnsi="Arial" w:cs="Arial"/>
          <w:i w:val="0"/>
          <w:color w:val="943634" w:themeColor="accent2" w:themeShade="BF"/>
          <w:sz w:val="28"/>
          <w:szCs w:val="28"/>
          <w:lang w:val="en-GB"/>
        </w:rPr>
        <w:t>ABOUT SIGOMA</w:t>
      </w:r>
    </w:p>
    <w:p w:rsidR="00E63A62" w:rsidRPr="003906C3" w:rsidRDefault="00E63A62" w:rsidP="00E63A62">
      <w:pPr>
        <w:pStyle w:val="ListParagraph"/>
        <w:rPr>
          <w:rFonts w:ascii="Arial" w:hAnsi="Arial" w:cs="Arial"/>
          <w:b/>
          <w:szCs w:val="24"/>
        </w:rPr>
      </w:pPr>
    </w:p>
    <w:p w:rsidR="00E63A62" w:rsidRPr="003906C3" w:rsidRDefault="00E63A62" w:rsidP="00E63A62">
      <w:pPr>
        <w:pStyle w:val="BodyText3"/>
        <w:numPr>
          <w:ilvl w:val="1"/>
          <w:numId w:val="17"/>
        </w:numPr>
        <w:jc w:val="both"/>
        <w:rPr>
          <w:rFonts w:ascii="Arial" w:hAnsi="Arial" w:cs="Arial"/>
          <w:b w:val="0"/>
          <w:i w:val="0"/>
          <w:szCs w:val="24"/>
          <w:lang w:val="en-GB"/>
        </w:rPr>
      </w:pPr>
      <w:r w:rsidRPr="003906C3">
        <w:rPr>
          <w:rFonts w:ascii="Arial" w:hAnsi="Arial" w:cs="Arial"/>
          <w:b w:val="0"/>
          <w:i w:val="0"/>
          <w:szCs w:val="24"/>
          <w:lang w:val="en-GB"/>
        </w:rPr>
        <w:t>SIGOMA is a special interest group of 45 authorities in the northern, midland and south-coast regions of England consisting of 32 metropolitan districts and 13 major unitary authorities covering key urban areas.</w:t>
      </w:r>
    </w:p>
    <w:p w:rsidR="00EE6F7F" w:rsidRPr="003906C3" w:rsidRDefault="00EE6F7F" w:rsidP="00EE6F7F">
      <w:pPr>
        <w:pStyle w:val="ListParagraph"/>
        <w:rPr>
          <w:rFonts w:ascii="Arial" w:hAnsi="Arial" w:cs="Arial"/>
          <w:szCs w:val="24"/>
        </w:rPr>
      </w:pPr>
    </w:p>
    <w:p w:rsidR="00EE6F7F" w:rsidRPr="003906C3" w:rsidRDefault="00C560F7" w:rsidP="00295AF2">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Our membership includes authorities in the North East, Yorkshire and Humberside, the North West, Merseyside, the Midlands and the Southern Ports. </w:t>
      </w:r>
    </w:p>
    <w:p w:rsidR="00EE6F7F" w:rsidRPr="003906C3" w:rsidRDefault="00EE6F7F" w:rsidP="00EE6F7F">
      <w:pPr>
        <w:pStyle w:val="ListParagraph"/>
        <w:rPr>
          <w:rFonts w:ascii="Arial" w:hAnsi="Arial" w:cs="Arial"/>
          <w:szCs w:val="24"/>
        </w:rPr>
      </w:pPr>
    </w:p>
    <w:p w:rsidR="00EE6F7F" w:rsidRPr="003906C3" w:rsidRDefault="00C560F7" w:rsidP="00EE6F7F">
      <w:pPr>
        <w:pStyle w:val="BodyText3"/>
        <w:numPr>
          <w:ilvl w:val="1"/>
          <w:numId w:val="17"/>
        </w:numPr>
        <w:jc w:val="both"/>
        <w:rPr>
          <w:rFonts w:ascii="Arial" w:hAnsi="Arial" w:cs="Arial"/>
          <w:i w:val="0"/>
          <w:szCs w:val="24"/>
        </w:rPr>
      </w:pPr>
      <w:r w:rsidRPr="003906C3">
        <w:rPr>
          <w:rFonts w:ascii="Arial" w:hAnsi="Arial" w:cs="Arial"/>
          <w:b w:val="0"/>
          <w:i w:val="0"/>
          <w:szCs w:val="24"/>
        </w:rPr>
        <w:t xml:space="preserve">Around 23% of </w:t>
      </w:r>
      <w:r w:rsidR="000A63B2" w:rsidRPr="003906C3">
        <w:rPr>
          <w:rFonts w:ascii="Arial" w:hAnsi="Arial" w:cs="Arial"/>
          <w:b w:val="0"/>
          <w:i w:val="0"/>
          <w:szCs w:val="24"/>
        </w:rPr>
        <w:t xml:space="preserve">all </w:t>
      </w:r>
      <w:r w:rsidRPr="003906C3">
        <w:rPr>
          <w:rFonts w:ascii="Arial" w:hAnsi="Arial" w:cs="Arial"/>
          <w:b w:val="0"/>
          <w:i w:val="0"/>
          <w:szCs w:val="24"/>
        </w:rPr>
        <w:t>service expenditure by English local authorities is accounted for within SIGOMA authorities</w:t>
      </w:r>
      <w:r w:rsidR="003073FD" w:rsidRPr="003906C3">
        <w:rPr>
          <w:rFonts w:ascii="Arial" w:hAnsi="Arial" w:cs="Arial"/>
          <w:b w:val="0"/>
          <w:i w:val="0"/>
          <w:szCs w:val="24"/>
        </w:rPr>
        <w:t xml:space="preserve"> who also accommodate</w:t>
      </w:r>
      <w:r w:rsidR="003E1842" w:rsidRPr="003906C3">
        <w:rPr>
          <w:rFonts w:ascii="Arial" w:hAnsi="Arial" w:cs="Arial"/>
          <w:b w:val="0"/>
          <w:i w:val="0"/>
          <w:szCs w:val="24"/>
        </w:rPr>
        <w:t xml:space="preserve"> around 23% of </w:t>
      </w:r>
      <w:r w:rsidR="000A63B2" w:rsidRPr="003906C3">
        <w:rPr>
          <w:rFonts w:ascii="Arial" w:hAnsi="Arial" w:cs="Arial"/>
          <w:b w:val="0"/>
          <w:i w:val="0"/>
          <w:szCs w:val="24"/>
        </w:rPr>
        <w:t xml:space="preserve">the </w:t>
      </w:r>
      <w:r w:rsidR="003E1842" w:rsidRPr="003906C3">
        <w:rPr>
          <w:rFonts w:ascii="Arial" w:hAnsi="Arial" w:cs="Arial"/>
          <w:b w:val="0"/>
          <w:i w:val="0"/>
          <w:szCs w:val="24"/>
        </w:rPr>
        <w:t>country’s population</w:t>
      </w:r>
      <w:r w:rsidR="00E63A62" w:rsidRPr="003906C3">
        <w:rPr>
          <w:rFonts w:ascii="Arial" w:hAnsi="Arial" w:cs="Arial"/>
          <w:b w:val="0"/>
          <w:i w:val="0"/>
          <w:szCs w:val="24"/>
        </w:rPr>
        <w:t>.</w:t>
      </w:r>
    </w:p>
    <w:p w:rsidR="00264891" w:rsidRPr="003906C3" w:rsidRDefault="00264891" w:rsidP="00264891">
      <w:pPr>
        <w:pStyle w:val="BodyText3"/>
        <w:jc w:val="both"/>
        <w:rPr>
          <w:rFonts w:ascii="Arial" w:hAnsi="Arial" w:cs="Arial"/>
          <w:i w:val="0"/>
          <w:szCs w:val="24"/>
        </w:rPr>
      </w:pPr>
    </w:p>
    <w:p w:rsidR="00EE6F7F" w:rsidRPr="003906C3" w:rsidRDefault="00A30B43" w:rsidP="00295AF2">
      <w:pPr>
        <w:pStyle w:val="BodyText3"/>
        <w:numPr>
          <w:ilvl w:val="1"/>
          <w:numId w:val="17"/>
        </w:numPr>
        <w:jc w:val="both"/>
        <w:rPr>
          <w:rFonts w:ascii="Arial" w:hAnsi="Arial" w:cs="Arial"/>
          <w:b w:val="0"/>
          <w:i w:val="0"/>
          <w:szCs w:val="24"/>
        </w:rPr>
      </w:pPr>
      <w:r w:rsidRPr="003906C3">
        <w:rPr>
          <w:rFonts w:ascii="Arial" w:hAnsi="Arial" w:cs="Arial"/>
          <w:b w:val="0"/>
          <w:i w:val="0"/>
          <w:szCs w:val="24"/>
        </w:rPr>
        <w:t>6 out of the 10 most deprived authorities in the country</w:t>
      </w:r>
      <w:r w:rsidRPr="003906C3">
        <w:rPr>
          <w:rStyle w:val="FootnoteReference"/>
          <w:rFonts w:ascii="Arial" w:hAnsi="Arial" w:cs="Arial"/>
          <w:b w:val="0"/>
          <w:i w:val="0"/>
          <w:szCs w:val="24"/>
        </w:rPr>
        <w:footnoteReference w:id="1"/>
      </w:r>
      <w:r w:rsidR="000A63B2" w:rsidRPr="003906C3">
        <w:rPr>
          <w:rFonts w:ascii="Arial" w:hAnsi="Arial" w:cs="Arial"/>
          <w:b w:val="0"/>
          <w:i w:val="0"/>
          <w:szCs w:val="24"/>
        </w:rPr>
        <w:t xml:space="preserve">  are SIGOMA members i</w:t>
      </w:r>
      <w:r w:rsidRPr="003906C3">
        <w:rPr>
          <w:rFonts w:ascii="Arial" w:hAnsi="Arial" w:cs="Arial"/>
          <w:b w:val="0"/>
          <w:i w:val="0"/>
          <w:szCs w:val="24"/>
        </w:rPr>
        <w:t>ncluding the country’s most deprived</w:t>
      </w:r>
      <w:r w:rsidR="0028003D" w:rsidRPr="003906C3">
        <w:rPr>
          <w:rFonts w:ascii="Arial" w:hAnsi="Arial" w:cs="Arial"/>
          <w:b w:val="0"/>
          <w:i w:val="0"/>
          <w:szCs w:val="24"/>
        </w:rPr>
        <w:t xml:space="preserve"> authority </w:t>
      </w:r>
      <w:r w:rsidRPr="003906C3">
        <w:rPr>
          <w:rFonts w:ascii="Arial" w:hAnsi="Arial" w:cs="Arial"/>
          <w:b w:val="0"/>
          <w:i w:val="0"/>
          <w:szCs w:val="24"/>
        </w:rPr>
        <w:t xml:space="preserve">, </w:t>
      </w:r>
      <w:proofErr w:type="spellStart"/>
      <w:r w:rsidRPr="003906C3">
        <w:rPr>
          <w:rFonts w:ascii="Arial" w:hAnsi="Arial" w:cs="Arial"/>
          <w:b w:val="0"/>
          <w:i w:val="0"/>
          <w:szCs w:val="24"/>
        </w:rPr>
        <w:t>Blackpool</w:t>
      </w:r>
      <w:proofErr w:type="spellEnd"/>
      <w:r w:rsidRPr="003906C3">
        <w:rPr>
          <w:rFonts w:ascii="Arial" w:hAnsi="Arial" w:cs="Arial"/>
          <w:b w:val="0"/>
          <w:i w:val="0"/>
          <w:szCs w:val="24"/>
        </w:rPr>
        <w:t>. The average dep</w:t>
      </w:r>
      <w:r w:rsidR="003073FD" w:rsidRPr="003906C3">
        <w:rPr>
          <w:rFonts w:ascii="Arial" w:hAnsi="Arial" w:cs="Arial"/>
          <w:b w:val="0"/>
          <w:i w:val="0"/>
          <w:szCs w:val="24"/>
        </w:rPr>
        <w:t>rivation score of SIGOMA authorities</w:t>
      </w:r>
      <w:r w:rsidRPr="003906C3">
        <w:rPr>
          <w:rFonts w:ascii="Arial" w:hAnsi="Arial" w:cs="Arial"/>
          <w:b w:val="0"/>
          <w:i w:val="0"/>
          <w:szCs w:val="24"/>
        </w:rPr>
        <w:t xml:space="preserve"> is 29.7 compared to the national average of 23.0</w:t>
      </w:r>
      <w:r w:rsidRPr="003906C3">
        <w:rPr>
          <w:rStyle w:val="FootnoteReference"/>
          <w:rFonts w:ascii="Arial" w:hAnsi="Arial" w:cs="Arial"/>
          <w:b w:val="0"/>
          <w:i w:val="0"/>
          <w:szCs w:val="24"/>
        </w:rPr>
        <w:footnoteReference w:id="2"/>
      </w:r>
      <w:r w:rsidRPr="003906C3">
        <w:rPr>
          <w:rFonts w:ascii="Arial" w:hAnsi="Arial" w:cs="Arial"/>
          <w:b w:val="0"/>
          <w:i w:val="0"/>
          <w:szCs w:val="24"/>
        </w:rPr>
        <w:t xml:space="preserve"> with only 5 of our members having a score below that average</w:t>
      </w:r>
    </w:p>
    <w:p w:rsidR="00EE6F7F" w:rsidRPr="003906C3" w:rsidRDefault="00EE6F7F" w:rsidP="00EE6F7F">
      <w:pPr>
        <w:pStyle w:val="ListParagraph"/>
        <w:rPr>
          <w:rFonts w:ascii="Arial" w:hAnsi="Arial" w:cs="Arial"/>
          <w:szCs w:val="24"/>
        </w:rPr>
      </w:pPr>
    </w:p>
    <w:p w:rsidR="004C1F15" w:rsidRPr="003906C3" w:rsidRDefault="00C560F7" w:rsidP="00295AF2">
      <w:pPr>
        <w:pStyle w:val="BodyText3"/>
        <w:numPr>
          <w:ilvl w:val="1"/>
          <w:numId w:val="17"/>
        </w:numPr>
        <w:jc w:val="both"/>
        <w:rPr>
          <w:rFonts w:ascii="Arial" w:hAnsi="Arial" w:cs="Arial"/>
          <w:b w:val="0"/>
          <w:i w:val="0"/>
          <w:szCs w:val="24"/>
        </w:rPr>
      </w:pPr>
      <w:r w:rsidRPr="003906C3">
        <w:rPr>
          <w:rFonts w:ascii="Arial" w:hAnsi="Arial" w:cs="Arial"/>
          <w:b w:val="0"/>
          <w:i w:val="0"/>
          <w:szCs w:val="24"/>
        </w:rPr>
        <w:t>All SIGOMA aut</w:t>
      </w:r>
      <w:r w:rsidR="00264891" w:rsidRPr="003906C3">
        <w:rPr>
          <w:rFonts w:ascii="Arial" w:hAnsi="Arial" w:cs="Arial"/>
          <w:b w:val="0"/>
          <w:i w:val="0"/>
          <w:szCs w:val="24"/>
        </w:rPr>
        <w:t>horities are billing authorities for Council Tax and retain 100% of New Homes Bonus.</w:t>
      </w:r>
    </w:p>
    <w:p w:rsidR="00E63A62" w:rsidRPr="003906C3" w:rsidRDefault="00E63A62" w:rsidP="00E63A62">
      <w:pPr>
        <w:pStyle w:val="ListParagraph"/>
        <w:rPr>
          <w:rFonts w:ascii="Arial" w:hAnsi="Arial" w:cs="Arial"/>
          <w:b/>
          <w:szCs w:val="24"/>
        </w:rPr>
      </w:pPr>
    </w:p>
    <w:p w:rsidR="00E63A62" w:rsidRPr="009C2D18" w:rsidRDefault="00E63A62" w:rsidP="009C2D18">
      <w:pPr>
        <w:pStyle w:val="BodyText3"/>
        <w:numPr>
          <w:ilvl w:val="1"/>
          <w:numId w:val="17"/>
        </w:numPr>
        <w:jc w:val="both"/>
        <w:rPr>
          <w:rFonts w:ascii="Arial" w:hAnsi="Arial" w:cs="Arial"/>
          <w:b w:val="0"/>
          <w:i w:val="0"/>
          <w:szCs w:val="24"/>
        </w:rPr>
      </w:pPr>
      <w:r w:rsidRPr="003906C3">
        <w:rPr>
          <w:rFonts w:ascii="Arial" w:hAnsi="Arial" w:cs="Arial"/>
          <w:b w:val="0"/>
          <w:i w:val="0"/>
          <w:szCs w:val="24"/>
        </w:rPr>
        <w:t>Although SIGOMA authorities serve  over 23% of English households  liable to Council Tax, the Banding systems means that SIGOMA has only 20.4% of the equivalent band D baseline. This in turn  underpins the fact that Council Tax income represents only 39.9% of Core Spending Power for SIGOMA compared to 52.3% for all other authorities. The New Homes Bonus allocations as they stand are affected by these factors.</w:t>
      </w:r>
    </w:p>
    <w:p w:rsidR="00E63A62" w:rsidRPr="003906C3" w:rsidRDefault="00E63A62" w:rsidP="00E63A62">
      <w:pPr>
        <w:pStyle w:val="ListParagraph"/>
        <w:rPr>
          <w:rFonts w:ascii="Arial" w:hAnsi="Arial" w:cs="Arial"/>
          <w:b/>
          <w:szCs w:val="24"/>
        </w:rPr>
      </w:pPr>
    </w:p>
    <w:p w:rsidR="00E63A62" w:rsidRPr="003906C3" w:rsidRDefault="00466F63" w:rsidP="00466F63">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GENERAL COMMENTS</w:t>
      </w:r>
    </w:p>
    <w:p w:rsidR="00466F63" w:rsidRPr="003906C3" w:rsidRDefault="00466F63" w:rsidP="00466F63">
      <w:pPr>
        <w:pStyle w:val="BodyText3"/>
        <w:ind w:left="502"/>
        <w:jc w:val="both"/>
        <w:rPr>
          <w:rFonts w:ascii="Arial" w:hAnsi="Arial" w:cs="Arial"/>
          <w:b w:val="0"/>
          <w:i w:val="0"/>
          <w:szCs w:val="24"/>
        </w:rPr>
      </w:pPr>
    </w:p>
    <w:p w:rsidR="00466F63" w:rsidRPr="003906C3" w:rsidRDefault="00466F63" w:rsidP="00466F63">
      <w:pPr>
        <w:pStyle w:val="BodyText3"/>
        <w:numPr>
          <w:ilvl w:val="1"/>
          <w:numId w:val="17"/>
        </w:numPr>
        <w:jc w:val="both"/>
        <w:rPr>
          <w:rFonts w:ascii="Arial" w:hAnsi="Arial" w:cs="Arial"/>
          <w:b w:val="0"/>
          <w:i w:val="0"/>
          <w:szCs w:val="24"/>
        </w:rPr>
      </w:pPr>
      <w:r w:rsidRPr="003906C3">
        <w:rPr>
          <w:rFonts w:ascii="Arial" w:hAnsi="Arial" w:cs="Arial"/>
          <w:b w:val="0"/>
          <w:i w:val="0"/>
          <w:szCs w:val="24"/>
        </w:rPr>
        <w:t>SIGOMA members recognize the need for, and are supportive of, a funding allocation that promotes or supports the building of homes, particularly low priced starter homes.</w:t>
      </w:r>
    </w:p>
    <w:p w:rsidR="00466F63" w:rsidRPr="003906C3" w:rsidRDefault="00466F63" w:rsidP="00466F63">
      <w:pPr>
        <w:pStyle w:val="BodyText3"/>
        <w:ind w:left="792"/>
        <w:jc w:val="both"/>
        <w:rPr>
          <w:rFonts w:ascii="Arial" w:hAnsi="Arial" w:cs="Arial"/>
          <w:b w:val="0"/>
          <w:i w:val="0"/>
          <w:szCs w:val="24"/>
        </w:rPr>
      </w:pPr>
    </w:p>
    <w:p w:rsidR="007042A7" w:rsidRDefault="00466F63" w:rsidP="007042A7">
      <w:pPr>
        <w:pStyle w:val="BodyText3"/>
        <w:numPr>
          <w:ilvl w:val="1"/>
          <w:numId w:val="17"/>
        </w:numPr>
        <w:jc w:val="both"/>
        <w:rPr>
          <w:rFonts w:ascii="Arial" w:hAnsi="Arial" w:cs="Arial"/>
          <w:b w:val="0"/>
          <w:i w:val="0"/>
          <w:szCs w:val="24"/>
        </w:rPr>
      </w:pPr>
      <w:r w:rsidRPr="003906C3">
        <w:rPr>
          <w:rFonts w:ascii="Arial" w:hAnsi="Arial" w:cs="Arial"/>
          <w:b w:val="0"/>
          <w:i w:val="0"/>
          <w:szCs w:val="24"/>
        </w:rPr>
        <w:t>Members</w:t>
      </w:r>
      <w:r w:rsidR="000D086F" w:rsidRPr="003906C3">
        <w:rPr>
          <w:rFonts w:ascii="Arial" w:hAnsi="Arial" w:cs="Arial"/>
          <w:b w:val="0"/>
          <w:i w:val="0"/>
          <w:szCs w:val="24"/>
        </w:rPr>
        <w:t xml:space="preserve"> </w:t>
      </w:r>
      <w:r w:rsidR="00516BB0" w:rsidRPr="003906C3">
        <w:rPr>
          <w:rFonts w:ascii="Arial" w:hAnsi="Arial" w:cs="Arial"/>
          <w:b w:val="0"/>
          <w:i w:val="0"/>
          <w:szCs w:val="24"/>
        </w:rPr>
        <w:t>have little support for NHB however and  feel that the</w:t>
      </w:r>
      <w:r w:rsidRPr="003906C3">
        <w:rPr>
          <w:rFonts w:ascii="Arial" w:hAnsi="Arial" w:cs="Arial"/>
          <w:b w:val="0"/>
          <w:i w:val="0"/>
          <w:szCs w:val="24"/>
        </w:rPr>
        <w:t xml:space="preserve"> NHB scheme has been in part at least a back door method of supporting funding streams to w</w:t>
      </w:r>
      <w:r w:rsidR="00516BB0" w:rsidRPr="003906C3">
        <w:rPr>
          <w:rFonts w:ascii="Arial" w:hAnsi="Arial" w:cs="Arial"/>
          <w:b w:val="0"/>
          <w:i w:val="0"/>
          <w:szCs w:val="24"/>
        </w:rPr>
        <w:t>ealthier authorities at the expense</w:t>
      </w:r>
      <w:r w:rsidRPr="003906C3">
        <w:rPr>
          <w:rFonts w:ascii="Arial" w:hAnsi="Arial" w:cs="Arial"/>
          <w:b w:val="0"/>
          <w:i w:val="0"/>
          <w:szCs w:val="24"/>
        </w:rPr>
        <w:t xml:space="preserve"> of poorer ones.</w:t>
      </w:r>
    </w:p>
    <w:p w:rsidR="009C2D18" w:rsidRDefault="009C2D18" w:rsidP="009C2D18">
      <w:pPr>
        <w:pStyle w:val="ListParagraph"/>
        <w:rPr>
          <w:rFonts w:ascii="Arial" w:hAnsi="Arial" w:cs="Arial"/>
          <w:b/>
          <w:i/>
          <w:szCs w:val="24"/>
        </w:rPr>
      </w:pPr>
    </w:p>
    <w:p w:rsidR="009C2D18" w:rsidRPr="003906C3" w:rsidRDefault="009C2D18" w:rsidP="007042A7">
      <w:pPr>
        <w:pStyle w:val="BodyText3"/>
        <w:numPr>
          <w:ilvl w:val="1"/>
          <w:numId w:val="17"/>
        </w:numPr>
        <w:jc w:val="both"/>
        <w:rPr>
          <w:rFonts w:ascii="Arial" w:hAnsi="Arial" w:cs="Arial"/>
          <w:b w:val="0"/>
          <w:i w:val="0"/>
          <w:szCs w:val="24"/>
        </w:rPr>
      </w:pPr>
      <w:r>
        <w:rPr>
          <w:rFonts w:ascii="Arial" w:hAnsi="Arial" w:cs="Arial"/>
          <w:b w:val="0"/>
          <w:i w:val="0"/>
          <w:szCs w:val="24"/>
        </w:rPr>
        <w:t xml:space="preserve">We note that in the 2016-17settlement, New Homes Bonus actually exceeded settlement funding  for 30 authorities (of which 27 </w:t>
      </w:r>
      <w:r w:rsidRPr="009C2D18">
        <w:rPr>
          <w:rFonts w:ascii="Arial" w:hAnsi="Arial" w:cs="Arial"/>
          <w:b w:val="0"/>
          <w:i w:val="0"/>
          <w:szCs w:val="24"/>
          <w:u w:val="single"/>
        </w:rPr>
        <w:t>also</w:t>
      </w:r>
      <w:r>
        <w:rPr>
          <w:rFonts w:ascii="Arial" w:hAnsi="Arial" w:cs="Arial"/>
          <w:b w:val="0"/>
          <w:i w:val="0"/>
          <w:szCs w:val="24"/>
        </w:rPr>
        <w:t xml:space="preserve"> received transition grant for high RSG cuts). In the case of </w:t>
      </w:r>
      <w:proofErr w:type="spellStart"/>
      <w:r>
        <w:rPr>
          <w:rFonts w:ascii="Arial" w:hAnsi="Arial" w:cs="Arial"/>
          <w:b w:val="0"/>
          <w:i w:val="0"/>
          <w:szCs w:val="24"/>
        </w:rPr>
        <w:t>Uttlesford</w:t>
      </w:r>
      <w:proofErr w:type="spellEnd"/>
      <w:r>
        <w:rPr>
          <w:rFonts w:ascii="Arial" w:hAnsi="Arial" w:cs="Arial"/>
          <w:b w:val="0"/>
          <w:i w:val="0"/>
          <w:szCs w:val="24"/>
        </w:rPr>
        <w:t xml:space="preserve"> SD New Homes Bonus is more than double the amount of Settlement Funding in 2016-17</w:t>
      </w:r>
    </w:p>
    <w:p w:rsidR="00466F63" w:rsidRDefault="00466F63" w:rsidP="00466F63">
      <w:pPr>
        <w:pStyle w:val="ListParagraph"/>
        <w:rPr>
          <w:rFonts w:ascii="Arial" w:hAnsi="Arial" w:cs="Arial"/>
          <w:b/>
          <w:szCs w:val="24"/>
        </w:rPr>
      </w:pPr>
    </w:p>
    <w:p w:rsidR="009C2D18" w:rsidRPr="003906C3" w:rsidRDefault="009C2D18" w:rsidP="00466F63">
      <w:pPr>
        <w:pStyle w:val="ListParagraph"/>
        <w:rPr>
          <w:rFonts w:ascii="Arial" w:hAnsi="Arial" w:cs="Arial"/>
          <w:b/>
          <w:szCs w:val="24"/>
        </w:rPr>
      </w:pPr>
    </w:p>
    <w:p w:rsidR="00466F63" w:rsidRPr="003906C3" w:rsidRDefault="00466F63" w:rsidP="00466F63">
      <w:pPr>
        <w:pStyle w:val="BodyText3"/>
        <w:numPr>
          <w:ilvl w:val="1"/>
          <w:numId w:val="17"/>
        </w:numPr>
        <w:jc w:val="both"/>
        <w:rPr>
          <w:rFonts w:ascii="Arial" w:hAnsi="Arial" w:cs="Arial"/>
          <w:b w:val="0"/>
          <w:i w:val="0"/>
          <w:szCs w:val="24"/>
        </w:rPr>
      </w:pPr>
      <w:r w:rsidRPr="003906C3">
        <w:rPr>
          <w:rFonts w:ascii="Arial" w:hAnsi="Arial" w:cs="Arial"/>
          <w:b w:val="0"/>
          <w:i w:val="0"/>
          <w:szCs w:val="24"/>
        </w:rPr>
        <w:t>Our principle objections to the scheme as it stands are:</w:t>
      </w:r>
    </w:p>
    <w:p w:rsidR="00466F63" w:rsidRPr="003906C3" w:rsidRDefault="00466F63" w:rsidP="003168BC">
      <w:pPr>
        <w:pStyle w:val="ListParagraph"/>
        <w:ind w:left="0"/>
        <w:rPr>
          <w:rFonts w:ascii="Arial" w:hAnsi="Arial" w:cs="Arial"/>
          <w:b/>
          <w:szCs w:val="24"/>
        </w:rPr>
      </w:pPr>
    </w:p>
    <w:p w:rsidR="00466F63" w:rsidRPr="003906C3" w:rsidRDefault="00466F63" w:rsidP="003168BC">
      <w:pPr>
        <w:pStyle w:val="BodyText3"/>
        <w:numPr>
          <w:ilvl w:val="1"/>
          <w:numId w:val="40"/>
        </w:numPr>
        <w:jc w:val="both"/>
        <w:rPr>
          <w:rFonts w:ascii="Arial" w:hAnsi="Arial" w:cs="Arial"/>
          <w:b w:val="0"/>
          <w:i w:val="0"/>
          <w:szCs w:val="24"/>
        </w:rPr>
      </w:pPr>
      <w:proofErr w:type="spellStart"/>
      <w:r w:rsidRPr="003906C3">
        <w:rPr>
          <w:rFonts w:ascii="Arial" w:hAnsi="Arial" w:cs="Arial"/>
          <w:b w:val="0"/>
          <w:i w:val="0"/>
          <w:szCs w:val="24"/>
        </w:rPr>
        <w:lastRenderedPageBreak/>
        <w:t>Its</w:t>
      </w:r>
      <w:proofErr w:type="spellEnd"/>
      <w:r w:rsidRPr="003906C3">
        <w:rPr>
          <w:rFonts w:ascii="Arial" w:hAnsi="Arial" w:cs="Arial"/>
          <w:b w:val="0"/>
          <w:i w:val="0"/>
          <w:szCs w:val="24"/>
        </w:rPr>
        <w:t xml:space="preserve"> is funded by topslice from general funding and therefore has risen at the expense of cuts to funding for other equally essential services provided by authorities. Housing funding should rank alongside all other funding in</w:t>
      </w:r>
      <w:r w:rsidR="00516BB0" w:rsidRPr="003906C3">
        <w:rPr>
          <w:rFonts w:ascii="Arial" w:hAnsi="Arial" w:cs="Arial"/>
          <w:b w:val="0"/>
          <w:i w:val="0"/>
          <w:szCs w:val="24"/>
        </w:rPr>
        <w:t xml:space="preserve"> </w:t>
      </w:r>
      <w:r w:rsidRPr="003906C3">
        <w:rPr>
          <w:rFonts w:ascii="Arial" w:hAnsi="Arial" w:cs="Arial"/>
          <w:b w:val="0"/>
          <w:i w:val="0"/>
          <w:szCs w:val="24"/>
        </w:rPr>
        <w:t xml:space="preserve">a </w:t>
      </w:r>
      <w:proofErr w:type="spellStart"/>
      <w:r w:rsidRPr="003906C3">
        <w:rPr>
          <w:rFonts w:ascii="Arial" w:hAnsi="Arial" w:cs="Arial"/>
          <w:b w:val="0"/>
          <w:i w:val="0"/>
          <w:szCs w:val="24"/>
        </w:rPr>
        <w:t>a</w:t>
      </w:r>
      <w:proofErr w:type="spellEnd"/>
      <w:r w:rsidRPr="003906C3">
        <w:rPr>
          <w:rFonts w:ascii="Arial" w:hAnsi="Arial" w:cs="Arial"/>
          <w:b w:val="0"/>
          <w:i w:val="0"/>
          <w:szCs w:val="24"/>
        </w:rPr>
        <w:t xml:space="preserve"> matrix of service needs</w:t>
      </w:r>
      <w:r w:rsidR="00516BB0" w:rsidRPr="003906C3">
        <w:rPr>
          <w:rFonts w:ascii="Arial" w:hAnsi="Arial" w:cs="Arial"/>
          <w:b w:val="0"/>
          <w:i w:val="0"/>
          <w:szCs w:val="24"/>
        </w:rPr>
        <w:t>. This seems to have been partially recognized in the latest settlement</w:t>
      </w:r>
    </w:p>
    <w:p w:rsidR="00466F63" w:rsidRPr="003906C3" w:rsidRDefault="00466F63" w:rsidP="003168BC">
      <w:pPr>
        <w:pStyle w:val="ListParagraph"/>
        <w:ind w:left="0"/>
        <w:rPr>
          <w:rFonts w:ascii="Arial" w:hAnsi="Arial" w:cs="Arial"/>
          <w:b/>
          <w:szCs w:val="24"/>
        </w:rPr>
      </w:pPr>
    </w:p>
    <w:p w:rsidR="00466F63" w:rsidRPr="003906C3" w:rsidRDefault="00466F63" w:rsidP="003168BC">
      <w:pPr>
        <w:pStyle w:val="BodyText3"/>
        <w:numPr>
          <w:ilvl w:val="1"/>
          <w:numId w:val="40"/>
        </w:numPr>
        <w:jc w:val="both"/>
        <w:rPr>
          <w:rFonts w:ascii="Arial" w:hAnsi="Arial" w:cs="Arial"/>
          <w:b w:val="0"/>
          <w:i w:val="0"/>
          <w:szCs w:val="24"/>
        </w:rPr>
      </w:pPr>
      <w:r w:rsidRPr="003906C3">
        <w:rPr>
          <w:rFonts w:ascii="Arial" w:hAnsi="Arial" w:cs="Arial"/>
          <w:b w:val="0"/>
          <w:i w:val="0"/>
          <w:szCs w:val="24"/>
        </w:rPr>
        <w:t xml:space="preserve">The basic system gives greater rewards to delivery of additional high banded housing rather than lower value housing by giving grant according to house </w:t>
      </w:r>
      <w:r w:rsidR="00277501" w:rsidRPr="003906C3">
        <w:rPr>
          <w:rFonts w:ascii="Arial" w:hAnsi="Arial" w:cs="Arial"/>
          <w:b w:val="0"/>
          <w:i w:val="0"/>
          <w:szCs w:val="24"/>
        </w:rPr>
        <w:t xml:space="preserve">valuation </w:t>
      </w:r>
      <w:r w:rsidRPr="003906C3">
        <w:rPr>
          <w:rFonts w:ascii="Arial" w:hAnsi="Arial" w:cs="Arial"/>
          <w:b w:val="0"/>
          <w:i w:val="0"/>
          <w:szCs w:val="24"/>
        </w:rPr>
        <w:t>bands. This counteracts the affordable homes premium.</w:t>
      </w:r>
    </w:p>
    <w:p w:rsidR="00466F63" w:rsidRPr="003906C3" w:rsidRDefault="00466F63" w:rsidP="003168BC">
      <w:pPr>
        <w:pStyle w:val="ListParagraph"/>
        <w:ind w:left="0"/>
        <w:rPr>
          <w:rFonts w:ascii="Arial" w:hAnsi="Arial" w:cs="Arial"/>
          <w:b/>
          <w:szCs w:val="24"/>
        </w:rPr>
      </w:pPr>
    </w:p>
    <w:p w:rsidR="00466F63" w:rsidRPr="003906C3" w:rsidRDefault="00466F63" w:rsidP="00466F63">
      <w:pPr>
        <w:pStyle w:val="BodyText3"/>
        <w:numPr>
          <w:ilvl w:val="1"/>
          <w:numId w:val="40"/>
        </w:numPr>
        <w:jc w:val="both"/>
        <w:rPr>
          <w:rFonts w:ascii="Arial" w:hAnsi="Arial" w:cs="Arial"/>
          <w:b w:val="0"/>
          <w:i w:val="0"/>
          <w:szCs w:val="24"/>
        </w:rPr>
      </w:pPr>
      <w:r w:rsidRPr="003906C3">
        <w:rPr>
          <w:rFonts w:ascii="Arial" w:hAnsi="Arial" w:cs="Arial"/>
          <w:b w:val="0"/>
          <w:i w:val="0"/>
          <w:szCs w:val="24"/>
        </w:rPr>
        <w:t xml:space="preserve">It bears no relation to the cost of delivering services which are driven by factors other than </w:t>
      </w:r>
      <w:r w:rsidR="003168BC" w:rsidRPr="003906C3">
        <w:rPr>
          <w:rFonts w:ascii="Arial" w:hAnsi="Arial" w:cs="Arial"/>
          <w:b w:val="0"/>
          <w:i w:val="0"/>
          <w:szCs w:val="24"/>
        </w:rPr>
        <w:t>house numbers, such as deprivation and demand for social care.</w:t>
      </w:r>
    </w:p>
    <w:p w:rsidR="007042A7" w:rsidRPr="003906C3" w:rsidRDefault="007042A7" w:rsidP="00466F63">
      <w:pPr>
        <w:rPr>
          <w:rFonts w:ascii="Arial" w:hAnsi="Arial" w:cs="Arial"/>
          <w:b/>
          <w:szCs w:val="24"/>
        </w:rPr>
      </w:pPr>
    </w:p>
    <w:p w:rsidR="007042A7" w:rsidRPr="003906C3" w:rsidRDefault="007042A7" w:rsidP="007042A7">
      <w:pPr>
        <w:pStyle w:val="BodyText3"/>
        <w:numPr>
          <w:ilvl w:val="1"/>
          <w:numId w:val="17"/>
        </w:numPr>
        <w:jc w:val="both"/>
        <w:rPr>
          <w:rFonts w:ascii="Arial" w:hAnsi="Arial" w:cs="Arial"/>
          <w:b w:val="0"/>
          <w:i w:val="0"/>
          <w:szCs w:val="24"/>
        </w:rPr>
      </w:pPr>
      <w:r w:rsidRPr="003906C3">
        <w:rPr>
          <w:rFonts w:ascii="Arial" w:hAnsi="Arial" w:cs="Arial"/>
          <w:b w:val="0"/>
          <w:i w:val="0"/>
          <w:szCs w:val="24"/>
        </w:rPr>
        <w:t>The following series of tables shows the absolute and relative movements between 2013-14 and 2016-17in core spending power</w:t>
      </w:r>
      <w:r w:rsidR="009C2D18">
        <w:rPr>
          <w:rFonts w:ascii="Arial" w:hAnsi="Arial" w:cs="Arial"/>
          <w:b w:val="0"/>
          <w:i w:val="0"/>
          <w:szCs w:val="24"/>
        </w:rPr>
        <w:t xml:space="preserve"> (CSP)</w:t>
      </w:r>
      <w:r w:rsidRPr="003906C3">
        <w:rPr>
          <w:rFonts w:ascii="Arial" w:hAnsi="Arial" w:cs="Arial"/>
          <w:b w:val="0"/>
          <w:i w:val="0"/>
          <w:szCs w:val="24"/>
        </w:rPr>
        <w:t>, made up of Council Tax, settlement funding and New Homes Bonus, firstly the national total:</w:t>
      </w:r>
    </w:p>
    <w:p w:rsidR="007042A7" w:rsidRPr="003906C3" w:rsidRDefault="007042A7" w:rsidP="007042A7">
      <w:pPr>
        <w:pStyle w:val="BodyText3"/>
        <w:ind w:left="792"/>
        <w:jc w:val="both"/>
        <w:rPr>
          <w:rFonts w:ascii="Arial" w:hAnsi="Arial" w:cs="Arial"/>
          <w:b w:val="0"/>
          <w:i w:val="0"/>
          <w:szCs w:val="24"/>
        </w:rPr>
      </w:pPr>
    </w:p>
    <w:p w:rsidR="007042A7" w:rsidRPr="003906C3" w:rsidRDefault="007042A7" w:rsidP="007042A7">
      <w:pPr>
        <w:pStyle w:val="BodyText3"/>
        <w:ind w:left="792"/>
        <w:jc w:val="both"/>
        <w:rPr>
          <w:rFonts w:ascii="Arial" w:hAnsi="Arial" w:cs="Arial"/>
          <w:b w:val="0"/>
          <w:i w:val="0"/>
          <w:szCs w:val="24"/>
        </w:rPr>
      </w:pPr>
      <w:r w:rsidRPr="003906C3">
        <w:rPr>
          <w:i w:val="0"/>
          <w:noProof/>
          <w:lang w:val="en-GB" w:eastAsia="en-GB"/>
        </w:rPr>
        <w:drawing>
          <wp:inline distT="0" distB="0" distL="0" distR="0" wp14:anchorId="42B78299" wp14:editId="151A08EB">
            <wp:extent cx="4483100" cy="28058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3100" cy="2805821"/>
                    </a:xfrm>
                    <a:prstGeom prst="rect">
                      <a:avLst/>
                    </a:prstGeom>
                    <a:noFill/>
                    <a:ln>
                      <a:noFill/>
                    </a:ln>
                  </pic:spPr>
                </pic:pic>
              </a:graphicData>
            </a:graphic>
          </wp:inline>
        </w:drawing>
      </w:r>
    </w:p>
    <w:p w:rsidR="00E72BE8" w:rsidRPr="003906C3" w:rsidRDefault="00E72BE8" w:rsidP="007042A7">
      <w:pPr>
        <w:pStyle w:val="BodyText3"/>
        <w:ind w:left="792"/>
        <w:jc w:val="both"/>
        <w:rPr>
          <w:rFonts w:ascii="Arial" w:hAnsi="Arial" w:cs="Arial"/>
          <w:b w:val="0"/>
          <w:i w:val="0"/>
          <w:szCs w:val="24"/>
        </w:rPr>
      </w:pPr>
    </w:p>
    <w:p w:rsidR="007042A7" w:rsidRPr="003906C3" w:rsidRDefault="007042A7" w:rsidP="007042A7">
      <w:pPr>
        <w:pStyle w:val="BodyText3"/>
        <w:ind w:left="792"/>
        <w:jc w:val="both"/>
        <w:rPr>
          <w:rFonts w:ascii="Arial" w:hAnsi="Arial" w:cs="Arial"/>
          <w:b w:val="0"/>
          <w:i w:val="0"/>
          <w:szCs w:val="24"/>
        </w:rPr>
      </w:pPr>
      <w:r w:rsidRPr="003906C3">
        <w:rPr>
          <w:rFonts w:ascii="Arial" w:hAnsi="Arial" w:cs="Arial"/>
          <w:b w:val="0"/>
          <w:i w:val="0"/>
          <w:szCs w:val="24"/>
        </w:rPr>
        <w:t xml:space="preserve">Then two individual authorities of comparable CSP totals in 2013-14, </w:t>
      </w:r>
      <w:proofErr w:type="spellStart"/>
      <w:r w:rsidRPr="003906C3">
        <w:rPr>
          <w:rFonts w:ascii="Arial" w:hAnsi="Arial" w:cs="Arial"/>
          <w:b w:val="0"/>
          <w:i w:val="0"/>
          <w:szCs w:val="24"/>
        </w:rPr>
        <w:t>Blackpool</w:t>
      </w:r>
      <w:proofErr w:type="spellEnd"/>
      <w:r w:rsidRPr="003906C3">
        <w:rPr>
          <w:rFonts w:ascii="Arial" w:hAnsi="Arial" w:cs="Arial"/>
          <w:b w:val="0"/>
          <w:i w:val="0"/>
          <w:szCs w:val="24"/>
        </w:rPr>
        <w:t xml:space="preserve"> and Richmond upon Thames</w:t>
      </w:r>
    </w:p>
    <w:p w:rsidR="00E72BE8" w:rsidRPr="003906C3" w:rsidRDefault="00E72BE8" w:rsidP="007042A7">
      <w:pPr>
        <w:pStyle w:val="BodyText3"/>
        <w:ind w:left="792"/>
        <w:jc w:val="both"/>
        <w:rPr>
          <w:rFonts w:ascii="Arial" w:hAnsi="Arial" w:cs="Arial"/>
          <w:b w:val="0"/>
          <w:i w:val="0"/>
          <w:szCs w:val="24"/>
        </w:rPr>
      </w:pPr>
    </w:p>
    <w:p w:rsidR="007042A7" w:rsidRPr="003906C3" w:rsidRDefault="00CB1EBC" w:rsidP="007042A7">
      <w:pPr>
        <w:pStyle w:val="BodyText3"/>
        <w:ind w:left="792"/>
        <w:jc w:val="both"/>
        <w:rPr>
          <w:rFonts w:ascii="Arial" w:hAnsi="Arial" w:cs="Arial"/>
          <w:b w:val="0"/>
          <w:i w:val="0"/>
          <w:szCs w:val="24"/>
        </w:rPr>
      </w:pPr>
      <w:r w:rsidRPr="003906C3">
        <w:rPr>
          <w:i w:val="0"/>
          <w:noProof/>
          <w:lang w:val="en-GB" w:eastAsia="en-GB"/>
        </w:rPr>
        <w:drawing>
          <wp:inline distT="0" distB="0" distL="0" distR="0" wp14:anchorId="22D4D0FA" wp14:editId="5961C3BC">
            <wp:extent cx="4483100" cy="25544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224" cy="2556824"/>
                    </a:xfrm>
                    <a:prstGeom prst="rect">
                      <a:avLst/>
                    </a:prstGeom>
                    <a:noFill/>
                    <a:ln>
                      <a:noFill/>
                    </a:ln>
                  </pic:spPr>
                </pic:pic>
              </a:graphicData>
            </a:graphic>
          </wp:inline>
        </w:drawing>
      </w:r>
    </w:p>
    <w:p w:rsidR="007042A7" w:rsidRPr="003906C3" w:rsidRDefault="007042A7" w:rsidP="007042A7">
      <w:pPr>
        <w:pStyle w:val="BodyText3"/>
        <w:ind w:left="792"/>
        <w:jc w:val="both"/>
        <w:rPr>
          <w:rFonts w:ascii="Arial" w:hAnsi="Arial" w:cs="Arial"/>
          <w:b w:val="0"/>
          <w:i w:val="0"/>
          <w:szCs w:val="24"/>
        </w:rPr>
      </w:pPr>
    </w:p>
    <w:p w:rsidR="007042A7" w:rsidRPr="003906C3" w:rsidRDefault="00CB1EBC" w:rsidP="007042A7">
      <w:pPr>
        <w:pStyle w:val="BodyText3"/>
        <w:ind w:left="792"/>
        <w:jc w:val="both"/>
        <w:rPr>
          <w:rFonts w:ascii="Arial" w:hAnsi="Arial" w:cs="Arial"/>
          <w:b w:val="0"/>
          <w:i w:val="0"/>
          <w:szCs w:val="24"/>
        </w:rPr>
      </w:pPr>
      <w:r w:rsidRPr="003906C3">
        <w:rPr>
          <w:i w:val="0"/>
          <w:noProof/>
          <w:lang w:val="en-GB" w:eastAsia="en-GB"/>
        </w:rPr>
        <w:lastRenderedPageBreak/>
        <w:drawing>
          <wp:inline distT="0" distB="0" distL="0" distR="0" wp14:anchorId="169EF6FD" wp14:editId="6B760CC4">
            <wp:extent cx="4597400" cy="27434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9291" cy="2744566"/>
                    </a:xfrm>
                    <a:prstGeom prst="rect">
                      <a:avLst/>
                    </a:prstGeom>
                    <a:noFill/>
                    <a:ln>
                      <a:noFill/>
                    </a:ln>
                  </pic:spPr>
                </pic:pic>
              </a:graphicData>
            </a:graphic>
          </wp:inline>
        </w:drawing>
      </w:r>
    </w:p>
    <w:p w:rsidR="007042A7" w:rsidRPr="003906C3" w:rsidRDefault="007042A7" w:rsidP="007042A7">
      <w:pPr>
        <w:pStyle w:val="BodyText3"/>
        <w:ind w:left="792"/>
        <w:jc w:val="both"/>
        <w:rPr>
          <w:rFonts w:ascii="Arial" w:hAnsi="Arial" w:cs="Arial"/>
          <w:b w:val="0"/>
          <w:i w:val="0"/>
          <w:szCs w:val="24"/>
        </w:rPr>
      </w:pPr>
    </w:p>
    <w:p w:rsidR="007042A7" w:rsidRPr="003906C3" w:rsidRDefault="00CB1EBC" w:rsidP="009C2D18">
      <w:pPr>
        <w:pStyle w:val="BodyText3"/>
        <w:ind w:left="1134"/>
        <w:jc w:val="both"/>
        <w:rPr>
          <w:rFonts w:ascii="Arial" w:hAnsi="Arial" w:cs="Arial"/>
          <w:b w:val="0"/>
          <w:i w:val="0"/>
          <w:szCs w:val="24"/>
        </w:rPr>
      </w:pPr>
      <w:r w:rsidRPr="003906C3">
        <w:rPr>
          <w:rFonts w:ascii="Arial" w:hAnsi="Arial" w:cs="Arial"/>
          <w:b w:val="0"/>
          <w:i w:val="0"/>
          <w:szCs w:val="24"/>
        </w:rPr>
        <w:t xml:space="preserve">Though starting at around the same core spending power total, </w:t>
      </w:r>
      <w:proofErr w:type="spellStart"/>
      <w:r w:rsidRPr="003906C3">
        <w:rPr>
          <w:rFonts w:ascii="Arial" w:hAnsi="Arial" w:cs="Arial"/>
          <w:b w:val="0"/>
          <w:i w:val="0"/>
          <w:szCs w:val="24"/>
        </w:rPr>
        <w:t>Richmonds</w:t>
      </w:r>
      <w:proofErr w:type="spellEnd"/>
      <w:r w:rsidRPr="003906C3">
        <w:rPr>
          <w:rFonts w:ascii="Arial" w:hAnsi="Arial" w:cs="Arial"/>
          <w:b w:val="0"/>
          <w:i w:val="0"/>
          <w:szCs w:val="24"/>
        </w:rPr>
        <w:t xml:space="preserve"> higher tax base and consequent higher and growing  New Homes Bonus share have left the authority with a much lower cut to core spending power, 3.8% compared to </w:t>
      </w:r>
      <w:proofErr w:type="spellStart"/>
      <w:r w:rsidRPr="003906C3">
        <w:rPr>
          <w:rFonts w:ascii="Arial" w:hAnsi="Arial" w:cs="Arial"/>
          <w:b w:val="0"/>
          <w:i w:val="0"/>
          <w:szCs w:val="24"/>
        </w:rPr>
        <w:t>Blackpools</w:t>
      </w:r>
      <w:proofErr w:type="spellEnd"/>
      <w:r w:rsidRPr="003906C3">
        <w:rPr>
          <w:rFonts w:ascii="Arial" w:hAnsi="Arial" w:cs="Arial"/>
          <w:b w:val="0"/>
          <w:i w:val="0"/>
          <w:szCs w:val="24"/>
        </w:rPr>
        <w:t xml:space="preserve"> 18.5%. Council Tax and New Homes Bonus, neither of them needs </w:t>
      </w:r>
      <w:r w:rsidR="003906C3">
        <w:rPr>
          <w:rFonts w:ascii="Arial" w:hAnsi="Arial" w:cs="Arial"/>
          <w:b w:val="0"/>
          <w:i w:val="0"/>
          <w:szCs w:val="24"/>
        </w:rPr>
        <w:t>e</w:t>
      </w:r>
      <w:r w:rsidRPr="003906C3">
        <w:rPr>
          <w:rFonts w:ascii="Arial" w:hAnsi="Arial" w:cs="Arial"/>
          <w:b w:val="0"/>
          <w:i w:val="0"/>
          <w:szCs w:val="24"/>
        </w:rPr>
        <w:t xml:space="preserve">valuated are the only aspects of funding that have grown over </w:t>
      </w:r>
      <w:r w:rsidR="009C2D18">
        <w:rPr>
          <w:rFonts w:ascii="Arial" w:hAnsi="Arial" w:cs="Arial"/>
          <w:b w:val="0"/>
          <w:i w:val="0"/>
          <w:szCs w:val="24"/>
        </w:rPr>
        <w:t>the period and New Homes Bonus g</w:t>
      </w:r>
      <w:r w:rsidRPr="003906C3">
        <w:rPr>
          <w:rFonts w:ascii="Arial" w:hAnsi="Arial" w:cs="Arial"/>
          <w:b w:val="0"/>
          <w:i w:val="0"/>
          <w:szCs w:val="24"/>
        </w:rPr>
        <w:t>rows at the expense of reduced resources for other needs.</w:t>
      </w:r>
    </w:p>
    <w:p w:rsidR="007042A7" w:rsidRPr="003906C3" w:rsidRDefault="007042A7" w:rsidP="009C2D18">
      <w:pPr>
        <w:pStyle w:val="BodyText3"/>
        <w:ind w:left="1134" w:firstLine="284"/>
        <w:jc w:val="both"/>
        <w:rPr>
          <w:rFonts w:ascii="Arial" w:hAnsi="Arial" w:cs="Arial"/>
          <w:b w:val="0"/>
          <w:i w:val="0"/>
          <w:szCs w:val="24"/>
        </w:rPr>
      </w:pPr>
    </w:p>
    <w:p w:rsidR="007042A7" w:rsidRPr="003906C3" w:rsidRDefault="007042A7" w:rsidP="007042A7">
      <w:pPr>
        <w:pStyle w:val="BodyText3"/>
        <w:ind w:left="792"/>
        <w:jc w:val="both"/>
        <w:rPr>
          <w:rFonts w:ascii="Arial" w:hAnsi="Arial" w:cs="Arial"/>
          <w:b w:val="0"/>
          <w:i w:val="0"/>
          <w:szCs w:val="24"/>
        </w:rPr>
      </w:pPr>
    </w:p>
    <w:p w:rsidR="007042A7" w:rsidRPr="003906C3" w:rsidRDefault="007042A7" w:rsidP="00657222">
      <w:pPr>
        <w:pStyle w:val="BodyText3"/>
        <w:numPr>
          <w:ilvl w:val="1"/>
          <w:numId w:val="17"/>
        </w:numPr>
        <w:jc w:val="both"/>
        <w:rPr>
          <w:rFonts w:ascii="Arial" w:hAnsi="Arial" w:cs="Arial"/>
          <w:b w:val="0"/>
          <w:i w:val="0"/>
          <w:szCs w:val="24"/>
        </w:rPr>
      </w:pPr>
      <w:r w:rsidRPr="003906C3">
        <w:rPr>
          <w:rFonts w:ascii="Arial" w:hAnsi="Arial" w:cs="Arial"/>
          <w:b w:val="0"/>
          <w:i w:val="0"/>
          <w:szCs w:val="24"/>
        </w:rPr>
        <w:t>We therefore welcome the chance to comment on the scheme in the following sections.</w:t>
      </w:r>
    </w:p>
    <w:p w:rsidR="003168BC" w:rsidRPr="003906C3" w:rsidRDefault="003168BC" w:rsidP="003168BC">
      <w:pPr>
        <w:pStyle w:val="BodyText3"/>
        <w:ind w:left="792"/>
        <w:jc w:val="both"/>
        <w:rPr>
          <w:rFonts w:ascii="Arial" w:hAnsi="Arial" w:cs="Arial"/>
          <w:b w:val="0"/>
          <w:i w:val="0"/>
          <w:szCs w:val="24"/>
        </w:rPr>
      </w:pPr>
    </w:p>
    <w:p w:rsidR="003168BC" w:rsidRPr="003906C3" w:rsidRDefault="003168BC" w:rsidP="00466F63">
      <w:pPr>
        <w:pStyle w:val="BodyText3"/>
        <w:numPr>
          <w:ilvl w:val="1"/>
          <w:numId w:val="17"/>
        </w:numPr>
        <w:jc w:val="both"/>
        <w:rPr>
          <w:rFonts w:ascii="Arial" w:hAnsi="Arial" w:cs="Arial"/>
          <w:i w:val="0"/>
          <w:szCs w:val="24"/>
        </w:rPr>
      </w:pPr>
      <w:r w:rsidRPr="003906C3">
        <w:rPr>
          <w:rFonts w:ascii="Arial" w:hAnsi="Arial" w:cs="Arial"/>
          <w:i w:val="0"/>
          <w:szCs w:val="24"/>
        </w:rPr>
        <w:t>Members wish to be clear that our response is  based on the statement by the minister that any efficiencies from New Homes Bonus would be returned to authorities. In the absence of any further information and considering that funding for New Homes Bonus is predominantly from SFA topslice we base our response on the assumption that additional savings from New Homes Bonus would be returned into the settlement funding pot.</w:t>
      </w:r>
    </w:p>
    <w:p w:rsidR="00657222" w:rsidRPr="003906C3" w:rsidRDefault="00657222" w:rsidP="00657222">
      <w:pPr>
        <w:pStyle w:val="ListParagraph"/>
        <w:rPr>
          <w:rFonts w:ascii="Arial" w:hAnsi="Arial" w:cs="Arial"/>
          <w:b/>
          <w:szCs w:val="24"/>
        </w:rPr>
      </w:pPr>
    </w:p>
    <w:p w:rsidR="00657222" w:rsidRPr="003906C3" w:rsidRDefault="00657222" w:rsidP="00466F63">
      <w:pPr>
        <w:pStyle w:val="BodyText3"/>
        <w:numPr>
          <w:ilvl w:val="1"/>
          <w:numId w:val="17"/>
        </w:numPr>
        <w:jc w:val="both"/>
        <w:rPr>
          <w:rFonts w:ascii="Arial" w:hAnsi="Arial" w:cs="Arial"/>
          <w:b w:val="0"/>
          <w:i w:val="0"/>
          <w:szCs w:val="24"/>
        </w:rPr>
      </w:pPr>
      <w:r w:rsidRPr="003906C3">
        <w:rPr>
          <w:rFonts w:ascii="Arial" w:hAnsi="Arial" w:cs="Arial"/>
          <w:b w:val="0"/>
          <w:i w:val="0"/>
          <w:szCs w:val="24"/>
        </w:rPr>
        <w:t>Given the point made in 2.6 members support the intention to shift funding away from New Homes Bonus to support social care and other demands in resource however they recommend that the need for this is immediate, not with a phased effect from 2018-19.</w:t>
      </w:r>
    </w:p>
    <w:p w:rsidR="003168BC" w:rsidRPr="003906C3" w:rsidRDefault="003168BC" w:rsidP="003168BC">
      <w:pPr>
        <w:pStyle w:val="BodyText3"/>
        <w:ind w:left="792"/>
        <w:jc w:val="both"/>
        <w:rPr>
          <w:rFonts w:ascii="Arial" w:hAnsi="Arial" w:cs="Arial"/>
          <w:b w:val="0"/>
          <w:i w:val="0"/>
          <w:szCs w:val="24"/>
        </w:rPr>
      </w:pPr>
    </w:p>
    <w:p w:rsidR="003168BC" w:rsidRPr="003906C3" w:rsidRDefault="003168BC" w:rsidP="003168BC">
      <w:pPr>
        <w:pStyle w:val="BodyText3"/>
        <w:numPr>
          <w:ilvl w:val="0"/>
          <w:numId w:val="17"/>
        </w:numPr>
        <w:jc w:val="both"/>
        <w:rPr>
          <w:rFonts w:ascii="Arial" w:hAnsi="Arial" w:cs="Arial"/>
          <w:i w:val="0"/>
          <w:color w:val="943634" w:themeColor="accent2" w:themeShade="BF"/>
          <w:szCs w:val="24"/>
        </w:rPr>
      </w:pPr>
      <w:r w:rsidRPr="003906C3">
        <w:rPr>
          <w:rFonts w:ascii="Arial" w:hAnsi="Arial" w:cs="Arial"/>
          <w:i w:val="0"/>
          <w:color w:val="943634" w:themeColor="accent2" w:themeShade="BF"/>
          <w:sz w:val="28"/>
          <w:szCs w:val="28"/>
        </w:rPr>
        <w:t>Questions 1 and 2</w:t>
      </w:r>
      <w:r w:rsidR="006807B4" w:rsidRPr="003906C3">
        <w:rPr>
          <w:rFonts w:ascii="Arial" w:hAnsi="Arial" w:cs="Arial"/>
          <w:i w:val="0"/>
          <w:color w:val="943634" w:themeColor="accent2" w:themeShade="BF"/>
          <w:sz w:val="28"/>
          <w:szCs w:val="28"/>
        </w:rPr>
        <w:t xml:space="preserve"> -  Changes in number of years awarded</w:t>
      </w:r>
    </w:p>
    <w:p w:rsidR="003168BC" w:rsidRPr="003906C3" w:rsidRDefault="003168BC" w:rsidP="003168BC">
      <w:pPr>
        <w:pStyle w:val="BodyText3"/>
        <w:ind w:left="502"/>
        <w:jc w:val="both"/>
        <w:rPr>
          <w:rFonts w:ascii="Arial" w:hAnsi="Arial" w:cs="Arial"/>
          <w:i w:val="0"/>
          <w:szCs w:val="24"/>
        </w:rPr>
      </w:pPr>
    </w:p>
    <w:p w:rsidR="003168BC" w:rsidRPr="003906C3" w:rsidRDefault="003168BC" w:rsidP="00466F63">
      <w:pPr>
        <w:pStyle w:val="BodyText3"/>
        <w:numPr>
          <w:ilvl w:val="1"/>
          <w:numId w:val="17"/>
        </w:numPr>
        <w:jc w:val="both"/>
        <w:rPr>
          <w:rFonts w:ascii="Arial" w:hAnsi="Arial" w:cs="Arial"/>
          <w:b w:val="0"/>
          <w:i w:val="0"/>
          <w:szCs w:val="24"/>
        </w:rPr>
      </w:pPr>
      <w:r w:rsidRPr="003906C3">
        <w:rPr>
          <w:rFonts w:ascii="Arial" w:hAnsi="Arial" w:cs="Arial"/>
          <w:b w:val="0"/>
          <w:i w:val="0"/>
          <w:szCs w:val="24"/>
        </w:rPr>
        <w:t>SIGOMA would welcome changes in years allocation of New Homes Bonus which would be returned to authority settlement fundin</w:t>
      </w:r>
      <w:r w:rsidR="006807B4" w:rsidRPr="003906C3">
        <w:rPr>
          <w:rFonts w:ascii="Arial" w:hAnsi="Arial" w:cs="Arial"/>
          <w:b w:val="0"/>
          <w:i w:val="0"/>
          <w:szCs w:val="24"/>
        </w:rPr>
        <w:t>g</w:t>
      </w:r>
    </w:p>
    <w:p w:rsidR="003168BC" w:rsidRPr="003906C3" w:rsidRDefault="003168BC" w:rsidP="003168BC">
      <w:pPr>
        <w:pStyle w:val="ListParagraph"/>
        <w:rPr>
          <w:rFonts w:ascii="Arial" w:hAnsi="Arial" w:cs="Arial"/>
          <w:b/>
          <w:szCs w:val="24"/>
        </w:rPr>
      </w:pPr>
    </w:p>
    <w:p w:rsidR="006807B4" w:rsidRPr="0002265F" w:rsidRDefault="006807B4" w:rsidP="0002265F">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Members would support an immediate cut to the number of years to either three or two years, with the </w:t>
      </w:r>
      <w:r w:rsidR="0002265F">
        <w:rPr>
          <w:rFonts w:ascii="Arial" w:hAnsi="Arial" w:cs="Arial"/>
          <w:b w:val="0"/>
          <w:i w:val="0"/>
          <w:szCs w:val="24"/>
        </w:rPr>
        <w:t>additional funding returned to Settlement F</w:t>
      </w:r>
      <w:r w:rsidRPr="003906C3">
        <w:rPr>
          <w:rFonts w:ascii="Arial" w:hAnsi="Arial" w:cs="Arial"/>
          <w:b w:val="0"/>
          <w:i w:val="0"/>
          <w:szCs w:val="24"/>
        </w:rPr>
        <w:t>unding.</w:t>
      </w:r>
    </w:p>
    <w:p w:rsidR="006807B4" w:rsidRPr="003906C3" w:rsidRDefault="006807B4" w:rsidP="006807B4">
      <w:pPr>
        <w:pStyle w:val="ListParagraph"/>
        <w:rPr>
          <w:rFonts w:ascii="Arial" w:hAnsi="Arial" w:cs="Arial"/>
          <w:b/>
          <w:szCs w:val="24"/>
        </w:rPr>
      </w:pPr>
    </w:p>
    <w:p w:rsidR="006807B4" w:rsidRPr="003906C3" w:rsidRDefault="006807B4" w:rsidP="006807B4">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3  - Alternative approach</w:t>
      </w:r>
    </w:p>
    <w:p w:rsidR="006807B4" w:rsidRPr="003906C3" w:rsidRDefault="006807B4" w:rsidP="006807B4">
      <w:pPr>
        <w:pStyle w:val="BodyText3"/>
        <w:ind w:left="502"/>
        <w:jc w:val="both"/>
        <w:rPr>
          <w:rFonts w:ascii="Arial" w:hAnsi="Arial" w:cs="Arial"/>
          <w:b w:val="0"/>
          <w:i w:val="0"/>
          <w:sz w:val="28"/>
          <w:szCs w:val="28"/>
        </w:rPr>
      </w:pPr>
    </w:p>
    <w:p w:rsidR="006807B4" w:rsidRPr="003906C3" w:rsidRDefault="006807B4" w:rsidP="006807B4">
      <w:pPr>
        <w:pStyle w:val="BodyText3"/>
        <w:numPr>
          <w:ilvl w:val="1"/>
          <w:numId w:val="17"/>
        </w:numPr>
        <w:jc w:val="both"/>
        <w:rPr>
          <w:rFonts w:ascii="Arial" w:hAnsi="Arial" w:cs="Arial"/>
          <w:b w:val="0"/>
          <w:i w:val="0"/>
          <w:sz w:val="28"/>
          <w:szCs w:val="28"/>
        </w:rPr>
      </w:pPr>
      <w:r w:rsidRPr="003906C3">
        <w:rPr>
          <w:rFonts w:ascii="Arial" w:hAnsi="Arial" w:cs="Arial"/>
          <w:b w:val="0"/>
          <w:i w:val="0"/>
          <w:szCs w:val="24"/>
        </w:rPr>
        <w:t xml:space="preserve">We have outlined what we consider to be the correct approach </w:t>
      </w:r>
      <w:r w:rsidR="00EC0577" w:rsidRPr="003906C3">
        <w:rPr>
          <w:rFonts w:ascii="Arial" w:hAnsi="Arial" w:cs="Arial"/>
          <w:b w:val="0"/>
          <w:i w:val="0"/>
          <w:szCs w:val="24"/>
        </w:rPr>
        <w:t xml:space="preserve">if NHB continues to be funded from existing settlement. Housing demand should be a needs indicator that ranks alongside other needs in the allocation of funding, reducing or increasing with settlement allocations. </w:t>
      </w:r>
    </w:p>
    <w:p w:rsidR="00B337DA" w:rsidRPr="003906C3" w:rsidRDefault="00B337DA" w:rsidP="00B337DA">
      <w:pPr>
        <w:pStyle w:val="BodyText3"/>
        <w:ind w:left="792"/>
        <w:jc w:val="both"/>
        <w:rPr>
          <w:rFonts w:ascii="Arial" w:hAnsi="Arial" w:cs="Arial"/>
          <w:b w:val="0"/>
          <w:i w:val="0"/>
          <w:szCs w:val="24"/>
        </w:rPr>
      </w:pPr>
    </w:p>
    <w:p w:rsidR="00B337DA" w:rsidRPr="003906C3" w:rsidRDefault="003065FE" w:rsidP="006807B4">
      <w:pPr>
        <w:pStyle w:val="BodyText3"/>
        <w:numPr>
          <w:ilvl w:val="1"/>
          <w:numId w:val="17"/>
        </w:numPr>
        <w:jc w:val="both"/>
        <w:rPr>
          <w:rFonts w:ascii="Arial" w:hAnsi="Arial" w:cs="Arial"/>
          <w:b w:val="0"/>
          <w:i w:val="0"/>
          <w:szCs w:val="24"/>
        </w:rPr>
      </w:pPr>
      <w:r w:rsidRPr="003906C3">
        <w:rPr>
          <w:rFonts w:ascii="Arial" w:hAnsi="Arial" w:cs="Arial"/>
          <w:b w:val="0"/>
          <w:i w:val="0"/>
          <w:szCs w:val="24"/>
        </w:rPr>
        <w:t>Assuming NHB continues as it is, a</w:t>
      </w:r>
      <w:r w:rsidR="00B337DA" w:rsidRPr="003906C3">
        <w:rPr>
          <w:rFonts w:ascii="Arial" w:hAnsi="Arial" w:cs="Arial"/>
          <w:b w:val="0"/>
          <w:i w:val="0"/>
          <w:szCs w:val="24"/>
        </w:rPr>
        <w:t>nother approach supported by member</w:t>
      </w:r>
      <w:r w:rsidRPr="003906C3">
        <w:rPr>
          <w:rFonts w:ascii="Arial" w:hAnsi="Arial" w:cs="Arial"/>
          <w:b w:val="0"/>
          <w:i w:val="0"/>
          <w:szCs w:val="24"/>
        </w:rPr>
        <w:t>s is to award one flat rate of New Homes B</w:t>
      </w:r>
      <w:r w:rsidR="00B337DA" w:rsidRPr="003906C3">
        <w:rPr>
          <w:rFonts w:ascii="Arial" w:hAnsi="Arial" w:cs="Arial"/>
          <w:b w:val="0"/>
          <w:i w:val="0"/>
          <w:szCs w:val="24"/>
        </w:rPr>
        <w:t>onus based on a discounted averag</w:t>
      </w:r>
      <w:r w:rsidR="00CB1EBC" w:rsidRPr="003906C3">
        <w:rPr>
          <w:rFonts w:ascii="Arial" w:hAnsi="Arial" w:cs="Arial"/>
          <w:b w:val="0"/>
          <w:i w:val="0"/>
          <w:szCs w:val="24"/>
        </w:rPr>
        <w:t>e band D tax for every new home</w:t>
      </w:r>
      <w:r w:rsidR="0002265F">
        <w:rPr>
          <w:rFonts w:ascii="Arial" w:hAnsi="Arial" w:cs="Arial"/>
          <w:b w:val="0"/>
          <w:i w:val="0"/>
          <w:szCs w:val="24"/>
        </w:rPr>
        <w:t>,</w:t>
      </w:r>
      <w:r w:rsidR="00CB1EBC" w:rsidRPr="003906C3">
        <w:rPr>
          <w:rFonts w:ascii="Arial" w:hAnsi="Arial" w:cs="Arial"/>
          <w:b w:val="0"/>
          <w:i w:val="0"/>
          <w:szCs w:val="24"/>
        </w:rPr>
        <w:t xml:space="preserve"> allocated on the </w:t>
      </w:r>
      <w:r w:rsidR="00CB1EBC" w:rsidRPr="0002265F">
        <w:rPr>
          <w:rFonts w:ascii="Arial" w:hAnsi="Arial" w:cs="Arial"/>
          <w:b w:val="0"/>
          <w:i w:val="0"/>
          <w:szCs w:val="24"/>
          <w:u w:val="single"/>
        </w:rPr>
        <w:t>unweighted</w:t>
      </w:r>
      <w:r w:rsidR="00CB1EBC" w:rsidRPr="003906C3">
        <w:rPr>
          <w:rFonts w:ascii="Arial" w:hAnsi="Arial" w:cs="Arial"/>
          <w:b w:val="0"/>
          <w:i w:val="0"/>
          <w:szCs w:val="24"/>
        </w:rPr>
        <w:t xml:space="preserve"> number of houses on the list.</w:t>
      </w:r>
    </w:p>
    <w:p w:rsidR="00B337DA" w:rsidRPr="003906C3" w:rsidRDefault="00B337DA" w:rsidP="00B337DA">
      <w:pPr>
        <w:pStyle w:val="ListParagraph"/>
        <w:rPr>
          <w:rFonts w:ascii="Arial" w:hAnsi="Arial" w:cs="Arial"/>
          <w:b/>
          <w:sz w:val="24"/>
          <w:szCs w:val="24"/>
        </w:rPr>
      </w:pPr>
    </w:p>
    <w:p w:rsidR="00B337DA" w:rsidRPr="003906C3" w:rsidRDefault="00B337DA" w:rsidP="006807B4">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SIGOMA estimate that a discount </w:t>
      </w:r>
      <w:r w:rsidR="003065FE" w:rsidRPr="003906C3">
        <w:rPr>
          <w:rFonts w:ascii="Arial" w:hAnsi="Arial" w:cs="Arial"/>
          <w:b w:val="0"/>
          <w:i w:val="0"/>
          <w:szCs w:val="24"/>
        </w:rPr>
        <w:t xml:space="preserve">flat </w:t>
      </w:r>
      <w:r w:rsidRPr="003906C3">
        <w:rPr>
          <w:rFonts w:ascii="Arial" w:hAnsi="Arial" w:cs="Arial"/>
          <w:b w:val="0"/>
          <w:i w:val="0"/>
          <w:szCs w:val="24"/>
        </w:rPr>
        <w:t>rate</w:t>
      </w:r>
      <w:r w:rsidR="002012F2" w:rsidRPr="003906C3">
        <w:rPr>
          <w:rFonts w:ascii="Arial" w:hAnsi="Arial" w:cs="Arial"/>
          <w:b w:val="0"/>
          <w:i w:val="0"/>
          <w:szCs w:val="24"/>
        </w:rPr>
        <w:t xml:space="preserve"> of 96</w:t>
      </w:r>
      <w:r w:rsidRPr="003906C3">
        <w:rPr>
          <w:rFonts w:ascii="Arial" w:hAnsi="Arial" w:cs="Arial"/>
          <w:b w:val="0"/>
          <w:i w:val="0"/>
          <w:szCs w:val="24"/>
        </w:rPr>
        <w:t>% on average band D in 2014-15 would have yielded the same overall NHB cost before affordable home premium.</w:t>
      </w:r>
    </w:p>
    <w:p w:rsidR="00C604D5" w:rsidRPr="003906C3" w:rsidRDefault="00C604D5" w:rsidP="00C604D5">
      <w:pPr>
        <w:pStyle w:val="ListParagraph"/>
        <w:rPr>
          <w:rFonts w:ascii="Arial" w:hAnsi="Arial" w:cs="Arial"/>
          <w:b/>
          <w:sz w:val="24"/>
          <w:szCs w:val="24"/>
        </w:rPr>
      </w:pPr>
    </w:p>
    <w:p w:rsidR="002012F2" w:rsidRPr="003906C3" w:rsidRDefault="002012F2" w:rsidP="006807B4">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A </w:t>
      </w:r>
      <w:r w:rsidR="003065FE" w:rsidRPr="003906C3">
        <w:rPr>
          <w:rFonts w:ascii="Arial" w:hAnsi="Arial" w:cs="Arial"/>
          <w:b w:val="0"/>
          <w:i w:val="0"/>
          <w:szCs w:val="24"/>
        </w:rPr>
        <w:t xml:space="preserve">flat rate based on a </w:t>
      </w:r>
      <w:r w:rsidRPr="003906C3">
        <w:rPr>
          <w:rFonts w:ascii="Arial" w:hAnsi="Arial" w:cs="Arial"/>
          <w:b w:val="0"/>
          <w:i w:val="0"/>
          <w:szCs w:val="24"/>
        </w:rPr>
        <w:t>discount of 95% would yield a saving of around £3.5 million and each 5% additional discount a saving of an additional £13 million.</w:t>
      </w:r>
    </w:p>
    <w:p w:rsidR="002012F2" w:rsidRPr="003906C3" w:rsidRDefault="002012F2" w:rsidP="002012F2">
      <w:pPr>
        <w:pStyle w:val="ListParagraph"/>
        <w:rPr>
          <w:rFonts w:ascii="Arial" w:hAnsi="Arial" w:cs="Arial"/>
          <w:b/>
          <w:sz w:val="24"/>
          <w:szCs w:val="24"/>
        </w:rPr>
      </w:pPr>
    </w:p>
    <w:p w:rsidR="00C604D5" w:rsidRPr="003906C3" w:rsidRDefault="002012F2" w:rsidP="006807B4">
      <w:pPr>
        <w:pStyle w:val="BodyText3"/>
        <w:numPr>
          <w:ilvl w:val="1"/>
          <w:numId w:val="17"/>
        </w:numPr>
        <w:jc w:val="both"/>
        <w:rPr>
          <w:rFonts w:ascii="Arial" w:hAnsi="Arial" w:cs="Arial"/>
          <w:b w:val="0"/>
          <w:i w:val="0"/>
          <w:szCs w:val="24"/>
        </w:rPr>
      </w:pPr>
      <w:r w:rsidRPr="003906C3">
        <w:rPr>
          <w:rFonts w:ascii="Arial" w:hAnsi="Arial" w:cs="Arial"/>
          <w:b w:val="0"/>
          <w:i w:val="0"/>
          <w:szCs w:val="24"/>
        </w:rPr>
        <w:t>The advantage of a flat rate is that authorities are not seen to benefit from more expensive developments and authorities with a lower banding mix are not disadvantaged due to their lower banding profile, which is illustrated in the table below</w:t>
      </w:r>
      <w:r w:rsidR="00E350AD" w:rsidRPr="003906C3">
        <w:rPr>
          <w:rFonts w:ascii="Arial" w:hAnsi="Arial" w:cs="Arial"/>
          <w:b w:val="0"/>
          <w:i w:val="0"/>
          <w:szCs w:val="24"/>
        </w:rPr>
        <w:t>:</w:t>
      </w:r>
    </w:p>
    <w:p w:rsidR="00516BB0" w:rsidRPr="003906C3" w:rsidRDefault="00516BB0" w:rsidP="003065FE">
      <w:pPr>
        <w:rPr>
          <w:rFonts w:ascii="Arial" w:hAnsi="Arial" w:cs="Arial"/>
          <w:b/>
          <w:sz w:val="28"/>
          <w:szCs w:val="28"/>
        </w:rPr>
      </w:pPr>
    </w:p>
    <w:p w:rsidR="00E350AD" w:rsidRPr="003906C3" w:rsidRDefault="00E350AD" w:rsidP="006807B4">
      <w:pPr>
        <w:pStyle w:val="BodyText3"/>
        <w:numPr>
          <w:ilvl w:val="1"/>
          <w:numId w:val="17"/>
        </w:numPr>
        <w:jc w:val="both"/>
        <w:rPr>
          <w:rFonts w:ascii="Arial" w:hAnsi="Arial" w:cs="Arial"/>
          <w:b w:val="0"/>
          <w:i w:val="0"/>
          <w:szCs w:val="24"/>
        </w:rPr>
      </w:pPr>
      <w:r w:rsidRPr="003906C3">
        <w:rPr>
          <w:rFonts w:ascii="Arial" w:hAnsi="Arial" w:cs="Arial"/>
          <w:i w:val="0"/>
          <w:color w:val="943634" w:themeColor="accent2" w:themeShade="BF"/>
          <w:szCs w:val="24"/>
        </w:rPr>
        <w:t>Chart showing profiles of Banding</w:t>
      </w:r>
      <w:r w:rsidRPr="003906C3">
        <w:rPr>
          <w:rFonts w:ascii="Arial" w:hAnsi="Arial" w:cs="Arial"/>
          <w:b w:val="0"/>
          <w:i w:val="0"/>
          <w:color w:val="943634" w:themeColor="accent2" w:themeShade="BF"/>
          <w:szCs w:val="24"/>
        </w:rPr>
        <w:t xml:space="preserve"> </w:t>
      </w:r>
      <w:r w:rsidRPr="003906C3">
        <w:rPr>
          <w:rFonts w:ascii="Arial" w:hAnsi="Arial" w:cs="Arial"/>
          <w:b w:val="0"/>
          <w:i w:val="0"/>
          <w:szCs w:val="24"/>
        </w:rPr>
        <w:t>– poorer unitary and metropolitan authorities lose out on New Homes Bonus due to the link with valuation Bandings and the high incidence of Band A housing</w:t>
      </w:r>
      <w:r w:rsidR="000D086F" w:rsidRPr="003906C3">
        <w:rPr>
          <w:rFonts w:ascii="Arial" w:hAnsi="Arial" w:cs="Arial"/>
          <w:b w:val="0"/>
          <w:i w:val="0"/>
          <w:szCs w:val="24"/>
        </w:rPr>
        <w:t xml:space="preserve"> in our authorities.  Yet </w:t>
      </w:r>
      <w:r w:rsidRPr="003906C3">
        <w:rPr>
          <w:rFonts w:ascii="Arial" w:hAnsi="Arial" w:cs="Arial"/>
          <w:b w:val="0"/>
          <w:i w:val="0"/>
          <w:szCs w:val="24"/>
        </w:rPr>
        <w:t xml:space="preserve"> remediation costs of former industrial land make that more expensive to develop</w:t>
      </w:r>
      <w:r w:rsidR="000D086F" w:rsidRPr="003906C3">
        <w:rPr>
          <w:rFonts w:ascii="Arial" w:hAnsi="Arial" w:cs="Arial"/>
          <w:b w:val="0"/>
          <w:i w:val="0"/>
          <w:szCs w:val="24"/>
        </w:rPr>
        <w:t xml:space="preserve"> and act as a disincentive. </w:t>
      </w:r>
      <w:r w:rsidRPr="003906C3">
        <w:rPr>
          <w:rFonts w:ascii="Arial" w:hAnsi="Arial" w:cs="Arial"/>
          <w:b w:val="0"/>
          <w:i w:val="0"/>
          <w:szCs w:val="24"/>
        </w:rPr>
        <w:t>Do SIGOMA authority households cost less to service?</w:t>
      </w:r>
    </w:p>
    <w:p w:rsidR="00E350AD" w:rsidRPr="003906C3" w:rsidRDefault="0002265F" w:rsidP="00CB1EBC">
      <w:pPr>
        <w:pStyle w:val="ListParagraph"/>
        <w:rPr>
          <w:rFonts w:ascii="Arial" w:hAnsi="Arial" w:cs="Arial"/>
          <w:b/>
          <w:szCs w:val="24"/>
        </w:rPr>
      </w:pPr>
      <w:r w:rsidRPr="0002265F">
        <w:rPr>
          <w:rFonts w:ascii="Arial" w:hAnsi="Arial" w:cs="Arial"/>
          <w:b/>
          <w:noProof/>
          <w:szCs w:val="24"/>
          <w:lang w:eastAsia="en-GB"/>
        </w:rPr>
        <mc:AlternateContent>
          <mc:Choice Requires="wps">
            <w:drawing>
              <wp:anchor distT="0" distB="0" distL="114300" distR="114300" simplePos="0" relativeHeight="251662336" behindDoc="0" locked="0" layoutInCell="1" allowOverlap="1" wp14:editId="36B11C9B">
                <wp:simplePos x="0" y="0"/>
                <wp:positionH relativeFrom="column">
                  <wp:posOffset>4914900</wp:posOffset>
                </wp:positionH>
                <wp:positionV relativeFrom="paragraph">
                  <wp:posOffset>-1270</wp:posOffset>
                </wp:positionV>
                <wp:extent cx="1536700" cy="273050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730500"/>
                        </a:xfrm>
                        <a:prstGeom prst="rect">
                          <a:avLst/>
                        </a:prstGeom>
                        <a:solidFill>
                          <a:srgbClr val="FFFFFF"/>
                        </a:solidFill>
                        <a:ln w="9525">
                          <a:solidFill>
                            <a:srgbClr val="000000"/>
                          </a:solidFill>
                          <a:miter lim="800000"/>
                          <a:headEnd/>
                          <a:tailEnd/>
                        </a:ln>
                      </wps:spPr>
                      <wps:txbx>
                        <w:txbxContent>
                          <w:p w:rsidR="0002265F" w:rsidRPr="0002265F" w:rsidRDefault="0002265F">
                            <w:pPr>
                              <w:rPr>
                                <w:b/>
                                <w:color w:val="365F91" w:themeColor="accent1" w:themeShade="BF"/>
                                <w:sz w:val="24"/>
                                <w:szCs w:val="24"/>
                                <w:u w:val="single"/>
                              </w:rPr>
                            </w:pPr>
                            <w:r>
                              <w:rPr>
                                <w:b/>
                                <w:color w:val="365F91" w:themeColor="accent1" w:themeShade="BF"/>
                                <w:sz w:val="24"/>
                                <w:szCs w:val="24"/>
                                <w:u w:val="single"/>
                              </w:rPr>
                              <w:t>Percentage of  total dwellings in</w:t>
                            </w:r>
                            <w:r w:rsidRPr="0002265F">
                              <w:rPr>
                                <w:b/>
                                <w:color w:val="365F91" w:themeColor="accent1" w:themeShade="BF"/>
                                <w:sz w:val="24"/>
                                <w:szCs w:val="24"/>
                                <w:u w:val="single"/>
                              </w:rPr>
                              <w:t xml:space="preserve"> each Counci</w:t>
                            </w:r>
                            <w:r>
                              <w:rPr>
                                <w:b/>
                                <w:color w:val="365F91" w:themeColor="accent1" w:themeShade="BF"/>
                                <w:sz w:val="24"/>
                                <w:szCs w:val="24"/>
                                <w:u w:val="single"/>
                              </w:rPr>
                              <w:t>l Tax b</w:t>
                            </w:r>
                            <w:r w:rsidRPr="0002265F">
                              <w:rPr>
                                <w:b/>
                                <w:color w:val="365F91" w:themeColor="accent1" w:themeShade="BF"/>
                                <w:sz w:val="24"/>
                                <w:szCs w:val="24"/>
                                <w:u w:val="single"/>
                              </w:rPr>
                              <w:t>and</w:t>
                            </w:r>
                          </w:p>
                          <w:p w:rsidR="0002265F" w:rsidRPr="0002265F" w:rsidRDefault="0002265F">
                            <w:pPr>
                              <w:rPr>
                                <w:b/>
                                <w:color w:val="365F91" w:themeColor="accent1" w:themeShade="BF"/>
                              </w:rPr>
                            </w:pPr>
                            <w:r w:rsidRPr="0002265F">
                              <w:rPr>
                                <w:b/>
                                <w:color w:val="365F91" w:themeColor="accent1" w:themeShade="BF"/>
                              </w:rPr>
                              <w:t>The chart shows that the mix of house bands in SIGOMA councils are heavily skewed towards lower bands</w:t>
                            </w:r>
                            <w:r>
                              <w:rPr>
                                <w:b/>
                                <w:color w:val="365F91" w:themeColor="accent1" w:themeShade="BF"/>
                              </w:rPr>
                              <w:t>,</w:t>
                            </w:r>
                            <w:r w:rsidRPr="0002265F">
                              <w:rPr>
                                <w:b/>
                                <w:color w:val="365F91" w:themeColor="accent1" w:themeShade="BF"/>
                              </w:rPr>
                              <w:t xml:space="preserve"> meaning that they have to build more houses to earn the same amount of Council Tax </w:t>
                            </w:r>
                            <w:r w:rsidRPr="0002265F">
                              <w:rPr>
                                <w:b/>
                                <w:color w:val="365F91" w:themeColor="accent1" w:themeShade="BF"/>
                                <w:u w:val="single"/>
                              </w:rPr>
                              <w:t xml:space="preserve">and </w:t>
                            </w:r>
                            <w:r w:rsidRPr="0002265F">
                              <w:rPr>
                                <w:b/>
                                <w:color w:val="365F91" w:themeColor="accent1" w:themeShade="BF"/>
                              </w:rPr>
                              <w:t>New Homes Bonus</w:t>
                            </w:r>
                            <w:r w:rsidR="00F91CBE">
                              <w:rPr>
                                <w:b/>
                                <w:color w:val="365F91" w:themeColor="accent1" w:themeShade="BF"/>
                              </w:rPr>
                              <w:t xml:space="preserve"> as more prosperous </w:t>
                            </w:r>
                            <w:r w:rsidR="00F91CBE">
                              <w:rPr>
                                <w:b/>
                                <w:color w:val="365F91" w:themeColor="accent1" w:themeShade="BF"/>
                              </w:rPr>
                              <w:t>councils.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pt;margin-top:-.1pt;width:121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">
                <v:textbox>
                  <w:txbxContent>
                    <w:p w:rsidR="0002265F" w:rsidRPr="0002265F" w:rsidRDefault="0002265F">
                      <w:pPr>
                        <w:rPr>
                          <w:b/>
                          <w:color w:val="365F91" w:themeColor="accent1" w:themeShade="BF"/>
                          <w:sz w:val="24"/>
                          <w:szCs w:val="24"/>
                          <w:u w:val="single"/>
                        </w:rPr>
                      </w:pPr>
                      <w:r>
                        <w:rPr>
                          <w:b/>
                          <w:color w:val="365F91" w:themeColor="accent1" w:themeShade="BF"/>
                          <w:sz w:val="24"/>
                          <w:szCs w:val="24"/>
                          <w:u w:val="single"/>
                        </w:rPr>
                        <w:t>Percentage of  total dwellings in</w:t>
                      </w:r>
                      <w:r w:rsidRPr="0002265F">
                        <w:rPr>
                          <w:b/>
                          <w:color w:val="365F91" w:themeColor="accent1" w:themeShade="BF"/>
                          <w:sz w:val="24"/>
                          <w:szCs w:val="24"/>
                          <w:u w:val="single"/>
                        </w:rPr>
                        <w:t xml:space="preserve"> each Counci</w:t>
                      </w:r>
                      <w:r>
                        <w:rPr>
                          <w:b/>
                          <w:color w:val="365F91" w:themeColor="accent1" w:themeShade="BF"/>
                          <w:sz w:val="24"/>
                          <w:szCs w:val="24"/>
                          <w:u w:val="single"/>
                        </w:rPr>
                        <w:t>l Tax b</w:t>
                      </w:r>
                      <w:r w:rsidRPr="0002265F">
                        <w:rPr>
                          <w:b/>
                          <w:color w:val="365F91" w:themeColor="accent1" w:themeShade="BF"/>
                          <w:sz w:val="24"/>
                          <w:szCs w:val="24"/>
                          <w:u w:val="single"/>
                        </w:rPr>
                        <w:t>and</w:t>
                      </w:r>
                    </w:p>
                    <w:p w:rsidR="0002265F" w:rsidRPr="0002265F" w:rsidRDefault="0002265F">
                      <w:pPr>
                        <w:rPr>
                          <w:b/>
                          <w:color w:val="365F91" w:themeColor="accent1" w:themeShade="BF"/>
                        </w:rPr>
                      </w:pPr>
                      <w:r w:rsidRPr="0002265F">
                        <w:rPr>
                          <w:b/>
                          <w:color w:val="365F91" w:themeColor="accent1" w:themeShade="BF"/>
                        </w:rPr>
                        <w:t>The chart shows that the mix of house bands in SIGOMA councils are heavily skewed towards lower bands</w:t>
                      </w:r>
                      <w:r>
                        <w:rPr>
                          <w:b/>
                          <w:color w:val="365F91" w:themeColor="accent1" w:themeShade="BF"/>
                        </w:rPr>
                        <w:t>,</w:t>
                      </w:r>
                      <w:r w:rsidRPr="0002265F">
                        <w:rPr>
                          <w:b/>
                          <w:color w:val="365F91" w:themeColor="accent1" w:themeShade="BF"/>
                        </w:rPr>
                        <w:t xml:space="preserve"> meaning that they have to build more houses to earn the same amount of Council Tax </w:t>
                      </w:r>
                      <w:r w:rsidRPr="0002265F">
                        <w:rPr>
                          <w:b/>
                          <w:color w:val="365F91" w:themeColor="accent1" w:themeShade="BF"/>
                          <w:u w:val="single"/>
                        </w:rPr>
                        <w:t xml:space="preserve">and </w:t>
                      </w:r>
                      <w:r w:rsidRPr="0002265F">
                        <w:rPr>
                          <w:b/>
                          <w:color w:val="365F91" w:themeColor="accent1" w:themeShade="BF"/>
                        </w:rPr>
                        <w:t>New Homes Bonus</w:t>
                      </w:r>
                      <w:r w:rsidR="00F91CBE">
                        <w:rPr>
                          <w:b/>
                          <w:color w:val="365F91" w:themeColor="accent1" w:themeShade="BF"/>
                        </w:rPr>
                        <w:t xml:space="preserve"> as more prosperous </w:t>
                      </w:r>
                      <w:r w:rsidR="00F91CBE">
                        <w:rPr>
                          <w:b/>
                          <w:color w:val="365F91" w:themeColor="accent1" w:themeShade="BF"/>
                        </w:rPr>
                        <w:t>councils.</w:t>
                      </w:r>
                      <w:bookmarkStart w:id="1" w:name="_GoBack"/>
                      <w:bookmarkEnd w:id="1"/>
                    </w:p>
                  </w:txbxContent>
                </v:textbox>
              </v:shape>
            </w:pict>
          </mc:Fallback>
        </mc:AlternateContent>
      </w:r>
      <w:r w:rsidR="00CB1EBC" w:rsidRPr="003906C3">
        <w:rPr>
          <w:rFonts w:ascii="Arial" w:hAnsi="Arial" w:cs="Arial"/>
          <w:b/>
          <w:noProof/>
          <w:sz w:val="28"/>
          <w:szCs w:val="28"/>
          <w:lang w:eastAsia="en-GB"/>
        </w:rPr>
        <w:drawing>
          <wp:inline distT="0" distB="0" distL="0" distR="0" wp14:anchorId="2AD4B8A2" wp14:editId="3DBBFB3D">
            <wp:extent cx="4181779" cy="27559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8849" cy="2760560"/>
                    </a:xfrm>
                    <a:prstGeom prst="rect">
                      <a:avLst/>
                    </a:prstGeom>
                    <a:noFill/>
                  </pic:spPr>
                </pic:pic>
              </a:graphicData>
            </a:graphic>
          </wp:inline>
        </w:drawing>
      </w:r>
    </w:p>
    <w:p w:rsidR="0062166B" w:rsidRPr="003906C3" w:rsidRDefault="0062166B" w:rsidP="003906C3">
      <w:pPr>
        <w:pStyle w:val="BodyText3"/>
        <w:jc w:val="both"/>
        <w:rPr>
          <w:rFonts w:ascii="Arial" w:hAnsi="Arial" w:cs="Arial"/>
          <w:b w:val="0"/>
          <w:i w:val="0"/>
          <w:sz w:val="28"/>
          <w:szCs w:val="28"/>
        </w:rPr>
      </w:pPr>
    </w:p>
    <w:p w:rsidR="0062166B" w:rsidRPr="003906C3" w:rsidRDefault="0062166B" w:rsidP="0062166B">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 xml:space="preserve">Question 4 </w:t>
      </w:r>
      <w:r w:rsidR="005A4482" w:rsidRPr="003906C3">
        <w:rPr>
          <w:rFonts w:ascii="Arial" w:hAnsi="Arial" w:cs="Arial"/>
          <w:i w:val="0"/>
          <w:color w:val="943634" w:themeColor="accent2" w:themeShade="BF"/>
          <w:sz w:val="28"/>
          <w:szCs w:val="28"/>
        </w:rPr>
        <w:t xml:space="preserve">and 5 </w:t>
      </w:r>
      <w:r w:rsidRPr="003906C3">
        <w:rPr>
          <w:rFonts w:ascii="Arial" w:hAnsi="Arial" w:cs="Arial"/>
          <w:i w:val="0"/>
          <w:color w:val="943634" w:themeColor="accent2" w:themeShade="BF"/>
          <w:sz w:val="28"/>
          <w:szCs w:val="28"/>
        </w:rPr>
        <w:t xml:space="preserve">Reduced </w:t>
      </w:r>
      <w:r w:rsidR="005A4482" w:rsidRPr="003906C3">
        <w:rPr>
          <w:rFonts w:ascii="Arial" w:hAnsi="Arial" w:cs="Arial"/>
          <w:i w:val="0"/>
          <w:color w:val="943634" w:themeColor="accent2" w:themeShade="BF"/>
          <w:sz w:val="28"/>
          <w:szCs w:val="28"/>
        </w:rPr>
        <w:t>or abated NHB for age</w:t>
      </w:r>
      <w:r w:rsidRPr="003906C3">
        <w:rPr>
          <w:rFonts w:ascii="Arial" w:hAnsi="Arial" w:cs="Arial"/>
          <w:i w:val="0"/>
          <w:color w:val="943634" w:themeColor="accent2" w:themeShade="BF"/>
          <w:sz w:val="28"/>
          <w:szCs w:val="28"/>
        </w:rPr>
        <w:t xml:space="preserve"> of local plan</w:t>
      </w:r>
    </w:p>
    <w:p w:rsidR="0062166B" w:rsidRPr="003906C3" w:rsidRDefault="0062166B" w:rsidP="0062166B">
      <w:pPr>
        <w:pStyle w:val="BodyText3"/>
        <w:ind w:left="502"/>
        <w:jc w:val="both"/>
        <w:rPr>
          <w:rFonts w:ascii="Arial" w:hAnsi="Arial" w:cs="Arial"/>
          <w:b w:val="0"/>
          <w:i w:val="0"/>
          <w:sz w:val="28"/>
          <w:szCs w:val="28"/>
        </w:rPr>
      </w:pPr>
    </w:p>
    <w:p w:rsidR="005A4482" w:rsidRPr="003906C3" w:rsidRDefault="0062166B" w:rsidP="005A4482">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Members question the efficacy of this approach with the end aim of producing additional housing. The paper provides no evidence as to the link between absence or existence of a local plan and </w:t>
      </w:r>
      <w:r w:rsidR="005A4482" w:rsidRPr="003906C3">
        <w:rPr>
          <w:rFonts w:ascii="Arial" w:hAnsi="Arial" w:cs="Arial"/>
          <w:b w:val="0"/>
          <w:i w:val="0"/>
          <w:szCs w:val="24"/>
        </w:rPr>
        <w:t>additional housing nor does it give any insight as to the reasons for those authorities who have not produced one.</w:t>
      </w:r>
    </w:p>
    <w:p w:rsidR="0062166B" w:rsidRPr="003906C3" w:rsidRDefault="0062166B" w:rsidP="005A4482">
      <w:pPr>
        <w:pStyle w:val="BodyText3"/>
        <w:ind w:left="360"/>
        <w:jc w:val="both"/>
        <w:rPr>
          <w:rFonts w:ascii="Arial" w:hAnsi="Arial" w:cs="Arial"/>
          <w:b w:val="0"/>
          <w:i w:val="0"/>
          <w:szCs w:val="24"/>
        </w:rPr>
      </w:pPr>
    </w:p>
    <w:p w:rsidR="00F32F3F" w:rsidRPr="003906C3" w:rsidRDefault="005A4482" w:rsidP="00F77F99">
      <w:pPr>
        <w:pStyle w:val="BodyText3"/>
        <w:numPr>
          <w:ilvl w:val="1"/>
          <w:numId w:val="17"/>
        </w:numPr>
        <w:jc w:val="both"/>
        <w:rPr>
          <w:rFonts w:ascii="Arial" w:hAnsi="Arial" w:cs="Arial"/>
          <w:b w:val="0"/>
          <w:i w:val="0"/>
          <w:szCs w:val="24"/>
        </w:rPr>
      </w:pPr>
      <w:r w:rsidRPr="003906C3">
        <w:rPr>
          <w:rFonts w:ascii="Arial" w:hAnsi="Arial" w:cs="Arial"/>
          <w:b w:val="0"/>
          <w:i w:val="0"/>
          <w:szCs w:val="24"/>
        </w:rPr>
        <w:t>As a cost saving exercise the approach seems dubious and unpredictable since it is likely that authorities in default will produce a plan of some sort if the loss of NHB warrants it.</w:t>
      </w:r>
    </w:p>
    <w:p w:rsidR="005A4482" w:rsidRPr="00D76850" w:rsidRDefault="005A4482" w:rsidP="005A4482">
      <w:pPr>
        <w:pStyle w:val="BodyText3"/>
        <w:ind w:left="360"/>
        <w:jc w:val="both"/>
        <w:rPr>
          <w:rFonts w:ascii="Arial" w:hAnsi="Arial" w:cs="Arial"/>
          <w:b w:val="0"/>
          <w:i w:val="0"/>
          <w:color w:val="943634" w:themeColor="accent2" w:themeShade="BF"/>
          <w:sz w:val="28"/>
          <w:szCs w:val="28"/>
        </w:rPr>
      </w:pPr>
    </w:p>
    <w:p w:rsidR="005A4482" w:rsidRPr="00D76850" w:rsidRDefault="00917ADC" w:rsidP="005A4482">
      <w:pPr>
        <w:pStyle w:val="BodyText3"/>
        <w:numPr>
          <w:ilvl w:val="0"/>
          <w:numId w:val="17"/>
        </w:numPr>
        <w:ind w:left="360"/>
        <w:jc w:val="both"/>
        <w:rPr>
          <w:rFonts w:ascii="Arial" w:hAnsi="Arial" w:cs="Arial"/>
          <w:i w:val="0"/>
          <w:color w:val="943634" w:themeColor="accent2" w:themeShade="BF"/>
          <w:sz w:val="28"/>
          <w:szCs w:val="28"/>
        </w:rPr>
      </w:pPr>
      <w:r w:rsidRPr="00D76850">
        <w:rPr>
          <w:rFonts w:ascii="Arial" w:hAnsi="Arial" w:cs="Arial"/>
          <w:i w:val="0"/>
          <w:color w:val="943634" w:themeColor="accent2" w:themeShade="BF"/>
          <w:sz w:val="28"/>
          <w:szCs w:val="28"/>
        </w:rPr>
        <w:t>Questions 6 and 7</w:t>
      </w:r>
      <w:r w:rsidR="00F32F3F" w:rsidRPr="00D76850">
        <w:rPr>
          <w:rFonts w:ascii="Arial" w:hAnsi="Arial" w:cs="Arial"/>
          <w:i w:val="0"/>
          <w:color w:val="943634" w:themeColor="accent2" w:themeShade="BF"/>
          <w:sz w:val="28"/>
          <w:szCs w:val="28"/>
        </w:rPr>
        <w:t xml:space="preserve"> withholding or reducing NHB on appeals</w:t>
      </w:r>
    </w:p>
    <w:p w:rsidR="00F32F3F" w:rsidRPr="00D76850" w:rsidRDefault="00F32F3F" w:rsidP="00F32F3F">
      <w:pPr>
        <w:pStyle w:val="BodyText3"/>
        <w:ind w:left="360"/>
        <w:jc w:val="both"/>
        <w:rPr>
          <w:rFonts w:ascii="Arial" w:hAnsi="Arial" w:cs="Arial"/>
          <w:b w:val="0"/>
          <w:i w:val="0"/>
          <w:color w:val="943634" w:themeColor="accent2" w:themeShade="BF"/>
          <w:sz w:val="28"/>
          <w:szCs w:val="28"/>
        </w:rPr>
      </w:pPr>
    </w:p>
    <w:p w:rsidR="00F32F3F" w:rsidRPr="00D76850" w:rsidRDefault="00D76850" w:rsidP="00F32F3F">
      <w:pPr>
        <w:pStyle w:val="BodyText3"/>
        <w:numPr>
          <w:ilvl w:val="1"/>
          <w:numId w:val="17"/>
        </w:numPr>
        <w:jc w:val="both"/>
        <w:rPr>
          <w:rFonts w:ascii="Arial" w:hAnsi="Arial" w:cs="Arial"/>
          <w:b w:val="0"/>
          <w:i w:val="0"/>
          <w:szCs w:val="24"/>
        </w:rPr>
      </w:pPr>
      <w:r w:rsidRPr="00D76850">
        <w:rPr>
          <w:rFonts w:ascii="Arial" w:hAnsi="Arial" w:cs="Arial"/>
          <w:b w:val="0"/>
          <w:i w:val="0"/>
          <w:szCs w:val="24"/>
        </w:rPr>
        <w:t>Members object to this proposal</w:t>
      </w:r>
    </w:p>
    <w:p w:rsidR="00917ADC" w:rsidRPr="00D76850" w:rsidRDefault="00917ADC" w:rsidP="00917ADC">
      <w:pPr>
        <w:pStyle w:val="BodyText3"/>
        <w:ind w:left="792"/>
        <w:jc w:val="both"/>
        <w:rPr>
          <w:rFonts w:ascii="Arial" w:hAnsi="Arial" w:cs="Arial"/>
          <w:b w:val="0"/>
          <w:i w:val="0"/>
          <w:szCs w:val="24"/>
        </w:rPr>
      </w:pPr>
    </w:p>
    <w:p w:rsidR="00917ADC" w:rsidRPr="00D76850" w:rsidRDefault="00D76850" w:rsidP="00F32F3F">
      <w:pPr>
        <w:pStyle w:val="BodyText3"/>
        <w:numPr>
          <w:ilvl w:val="1"/>
          <w:numId w:val="17"/>
        </w:numPr>
        <w:jc w:val="both"/>
        <w:rPr>
          <w:rFonts w:ascii="Arial" w:hAnsi="Arial" w:cs="Arial"/>
          <w:b w:val="0"/>
          <w:i w:val="0"/>
          <w:szCs w:val="24"/>
        </w:rPr>
      </w:pPr>
      <w:r w:rsidRPr="00D76850">
        <w:rPr>
          <w:rFonts w:ascii="Arial" w:hAnsi="Arial" w:cs="Arial"/>
          <w:b w:val="0"/>
          <w:i w:val="0"/>
          <w:szCs w:val="24"/>
        </w:rPr>
        <w:lastRenderedPageBreak/>
        <w:t>Members</w:t>
      </w:r>
      <w:r w:rsidR="00917ADC" w:rsidRPr="00D76850">
        <w:rPr>
          <w:rFonts w:ascii="Arial" w:hAnsi="Arial" w:cs="Arial"/>
          <w:b w:val="0"/>
          <w:i w:val="0"/>
          <w:szCs w:val="24"/>
        </w:rPr>
        <w:t xml:space="preserve"> are concerned that whilst the scheme may have superficial appeal it will result in an added layer of complexity to NHB and result in additional administrative costs both on the part of </w:t>
      </w:r>
      <w:r>
        <w:rPr>
          <w:rFonts w:ascii="Arial" w:hAnsi="Arial" w:cs="Arial"/>
          <w:b w:val="0"/>
          <w:i w:val="0"/>
          <w:szCs w:val="24"/>
        </w:rPr>
        <w:t>Councils and DCLG which may out-</w:t>
      </w:r>
      <w:r w:rsidR="00917ADC" w:rsidRPr="00D76850">
        <w:rPr>
          <w:rFonts w:ascii="Arial" w:hAnsi="Arial" w:cs="Arial"/>
          <w:b w:val="0"/>
          <w:i w:val="0"/>
          <w:szCs w:val="24"/>
        </w:rPr>
        <w:t>weigh the efficiencies.</w:t>
      </w:r>
    </w:p>
    <w:p w:rsidR="00917ADC" w:rsidRPr="00D76850" w:rsidRDefault="00917ADC" w:rsidP="00917ADC">
      <w:pPr>
        <w:pStyle w:val="ListParagraph"/>
        <w:rPr>
          <w:rFonts w:ascii="Arial" w:hAnsi="Arial" w:cs="Arial"/>
          <w:b/>
          <w:sz w:val="24"/>
          <w:szCs w:val="24"/>
        </w:rPr>
      </w:pPr>
    </w:p>
    <w:p w:rsidR="00917ADC" w:rsidRPr="00D76850" w:rsidRDefault="00917ADC" w:rsidP="00F32F3F">
      <w:pPr>
        <w:pStyle w:val="BodyText3"/>
        <w:numPr>
          <w:ilvl w:val="1"/>
          <w:numId w:val="17"/>
        </w:numPr>
        <w:jc w:val="both"/>
        <w:rPr>
          <w:rFonts w:ascii="Arial" w:hAnsi="Arial" w:cs="Arial"/>
          <w:b w:val="0"/>
          <w:i w:val="0"/>
          <w:szCs w:val="24"/>
        </w:rPr>
      </w:pPr>
      <w:r w:rsidRPr="00D76850">
        <w:rPr>
          <w:rFonts w:ascii="Arial" w:hAnsi="Arial" w:cs="Arial"/>
          <w:b w:val="0"/>
          <w:i w:val="0"/>
          <w:szCs w:val="24"/>
        </w:rPr>
        <w:t>Members are also concerned that this initiative may conflict with the duty of authorities to act in the interests of all residents and leave them open to accusations of failing to take appropriate planning decisions  due to financial inducement</w:t>
      </w:r>
      <w:r w:rsidR="00D76850" w:rsidRPr="00D76850">
        <w:rPr>
          <w:rFonts w:ascii="Arial" w:hAnsi="Arial" w:cs="Arial"/>
          <w:b w:val="0"/>
          <w:i w:val="0"/>
          <w:szCs w:val="24"/>
        </w:rPr>
        <w:t xml:space="preserve"> and threaten their independence,</w:t>
      </w:r>
    </w:p>
    <w:p w:rsidR="00917ADC" w:rsidRPr="003906C3" w:rsidRDefault="00917ADC" w:rsidP="00917ADC">
      <w:pPr>
        <w:pStyle w:val="ListParagraph"/>
        <w:rPr>
          <w:rFonts w:ascii="Arial" w:hAnsi="Arial" w:cs="Arial"/>
          <w:b/>
          <w:sz w:val="28"/>
          <w:szCs w:val="28"/>
        </w:rPr>
      </w:pPr>
    </w:p>
    <w:p w:rsidR="00917ADC" w:rsidRPr="003906C3" w:rsidRDefault="00917ADC" w:rsidP="00917ADC">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8 Reducing at National average Band D</w:t>
      </w:r>
    </w:p>
    <w:p w:rsidR="00917ADC" w:rsidRPr="003906C3" w:rsidRDefault="00917ADC" w:rsidP="00917ADC">
      <w:pPr>
        <w:pStyle w:val="BodyText3"/>
        <w:ind w:left="502"/>
        <w:jc w:val="both"/>
        <w:rPr>
          <w:rFonts w:ascii="Arial" w:hAnsi="Arial" w:cs="Arial"/>
          <w:b w:val="0"/>
          <w:i w:val="0"/>
          <w:sz w:val="28"/>
          <w:szCs w:val="28"/>
        </w:rPr>
      </w:pPr>
    </w:p>
    <w:p w:rsidR="00917ADC" w:rsidRPr="003906C3" w:rsidRDefault="00404D0B" w:rsidP="00917ADC">
      <w:pPr>
        <w:pStyle w:val="BodyText3"/>
        <w:numPr>
          <w:ilvl w:val="1"/>
          <w:numId w:val="17"/>
        </w:numPr>
        <w:jc w:val="both"/>
        <w:rPr>
          <w:rFonts w:ascii="Arial" w:hAnsi="Arial" w:cs="Arial"/>
          <w:b w:val="0"/>
          <w:i w:val="0"/>
          <w:szCs w:val="24"/>
        </w:rPr>
      </w:pPr>
      <w:r w:rsidRPr="003906C3">
        <w:rPr>
          <w:rFonts w:ascii="Arial" w:hAnsi="Arial" w:cs="Arial"/>
          <w:b w:val="0"/>
          <w:i w:val="0"/>
          <w:szCs w:val="24"/>
        </w:rPr>
        <w:t>Members dis-</w:t>
      </w:r>
      <w:r w:rsidR="00917ADC" w:rsidRPr="003906C3">
        <w:rPr>
          <w:rFonts w:ascii="Arial" w:hAnsi="Arial" w:cs="Arial"/>
          <w:b w:val="0"/>
          <w:i w:val="0"/>
          <w:szCs w:val="24"/>
        </w:rPr>
        <w:t xml:space="preserve">agree to this method since it would disadvantage </w:t>
      </w:r>
      <w:r w:rsidRPr="003906C3">
        <w:rPr>
          <w:rFonts w:ascii="Arial" w:hAnsi="Arial" w:cs="Arial"/>
          <w:b w:val="0"/>
          <w:i w:val="0"/>
          <w:szCs w:val="24"/>
        </w:rPr>
        <w:t>poorer authorities .In SIGOMA on average  85</w:t>
      </w:r>
      <w:r w:rsidR="00917ADC" w:rsidRPr="003906C3">
        <w:rPr>
          <w:rFonts w:ascii="Arial" w:hAnsi="Arial" w:cs="Arial"/>
          <w:b w:val="0"/>
          <w:i w:val="0"/>
          <w:szCs w:val="24"/>
        </w:rPr>
        <w:t>% of pr</w:t>
      </w:r>
      <w:r w:rsidRPr="003906C3">
        <w:rPr>
          <w:rFonts w:ascii="Arial" w:hAnsi="Arial" w:cs="Arial"/>
          <w:b w:val="0"/>
          <w:i w:val="0"/>
          <w:szCs w:val="24"/>
        </w:rPr>
        <w:t>operties are at Band C or lower, compared to an average of 60% for all other authorities.</w:t>
      </w:r>
    </w:p>
    <w:p w:rsidR="00404D0B" w:rsidRPr="00D76850" w:rsidRDefault="00404D0B" w:rsidP="00404D0B">
      <w:pPr>
        <w:pStyle w:val="BodyText3"/>
        <w:ind w:left="792"/>
        <w:jc w:val="both"/>
        <w:rPr>
          <w:rFonts w:ascii="Arial" w:hAnsi="Arial" w:cs="Arial"/>
          <w:b w:val="0"/>
          <w:i w:val="0"/>
          <w:color w:val="943634" w:themeColor="accent2" w:themeShade="BF"/>
          <w:sz w:val="28"/>
          <w:szCs w:val="28"/>
        </w:rPr>
      </w:pPr>
    </w:p>
    <w:p w:rsidR="00404D0B" w:rsidRPr="00D76850" w:rsidRDefault="00404D0B" w:rsidP="00404D0B">
      <w:pPr>
        <w:pStyle w:val="BodyText3"/>
        <w:numPr>
          <w:ilvl w:val="0"/>
          <w:numId w:val="17"/>
        </w:numPr>
        <w:jc w:val="both"/>
        <w:rPr>
          <w:rFonts w:ascii="Arial" w:hAnsi="Arial" w:cs="Arial"/>
          <w:i w:val="0"/>
          <w:color w:val="943634" w:themeColor="accent2" w:themeShade="BF"/>
          <w:sz w:val="28"/>
          <w:szCs w:val="28"/>
        </w:rPr>
      </w:pPr>
      <w:r w:rsidRPr="00D76850">
        <w:rPr>
          <w:rFonts w:ascii="Arial" w:hAnsi="Arial" w:cs="Arial"/>
          <w:i w:val="0"/>
          <w:color w:val="943634" w:themeColor="accent2" w:themeShade="BF"/>
          <w:sz w:val="28"/>
          <w:szCs w:val="28"/>
        </w:rPr>
        <w:t>Question 9 and 10  - Removing Deadweight</w:t>
      </w:r>
    </w:p>
    <w:p w:rsidR="00404D0B" w:rsidRPr="00D76850" w:rsidRDefault="00404D0B" w:rsidP="00404D0B">
      <w:pPr>
        <w:pStyle w:val="BodyText3"/>
        <w:ind w:left="502"/>
        <w:jc w:val="both"/>
        <w:rPr>
          <w:rFonts w:ascii="Arial" w:hAnsi="Arial" w:cs="Arial"/>
          <w:b w:val="0"/>
          <w:i w:val="0"/>
          <w:color w:val="943634" w:themeColor="accent2" w:themeShade="BF"/>
          <w:sz w:val="28"/>
          <w:szCs w:val="28"/>
        </w:rPr>
      </w:pPr>
    </w:p>
    <w:p w:rsidR="00404D0B" w:rsidRPr="003906C3" w:rsidRDefault="00404D0B"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SIGOMA do not agree with a single baseline. Our analysis shows that this would tend to work to the disadvantage of poorer authorities.</w:t>
      </w:r>
    </w:p>
    <w:p w:rsidR="00404D0B" w:rsidRPr="003906C3" w:rsidRDefault="00404D0B" w:rsidP="00404D0B">
      <w:pPr>
        <w:pStyle w:val="ListParagraph"/>
        <w:rPr>
          <w:rFonts w:ascii="Arial" w:hAnsi="Arial" w:cs="Arial"/>
          <w:b/>
          <w:sz w:val="24"/>
          <w:szCs w:val="24"/>
        </w:rPr>
      </w:pPr>
    </w:p>
    <w:p w:rsidR="00404D0B" w:rsidRPr="003906C3" w:rsidRDefault="003906C3" w:rsidP="00404D0B">
      <w:pPr>
        <w:pStyle w:val="BodyText3"/>
        <w:numPr>
          <w:ilvl w:val="1"/>
          <w:numId w:val="17"/>
        </w:numPr>
        <w:jc w:val="both"/>
        <w:rPr>
          <w:rFonts w:ascii="Arial" w:hAnsi="Arial" w:cs="Arial"/>
          <w:b w:val="0"/>
          <w:i w:val="0"/>
          <w:szCs w:val="24"/>
        </w:rPr>
      </w:pPr>
      <w:r>
        <w:rPr>
          <w:rFonts w:ascii="Arial" w:hAnsi="Arial" w:cs="Arial"/>
          <w:b w:val="0"/>
          <w:i w:val="0"/>
          <w:szCs w:val="24"/>
        </w:rPr>
        <w:t>Members also reject the</w:t>
      </w:r>
      <w:r w:rsidR="00404D0B" w:rsidRPr="003906C3">
        <w:rPr>
          <w:rFonts w:ascii="Arial" w:hAnsi="Arial" w:cs="Arial"/>
          <w:b w:val="0"/>
          <w:i w:val="0"/>
          <w:szCs w:val="24"/>
        </w:rPr>
        <w:t xml:space="preserve"> suggestion </w:t>
      </w:r>
      <w:r>
        <w:rPr>
          <w:rFonts w:ascii="Arial" w:hAnsi="Arial" w:cs="Arial"/>
          <w:b w:val="0"/>
          <w:i w:val="0"/>
          <w:szCs w:val="24"/>
        </w:rPr>
        <w:t xml:space="preserve">that </w:t>
      </w:r>
      <w:r w:rsidR="00404D0B" w:rsidRPr="003906C3">
        <w:rPr>
          <w:rFonts w:ascii="Arial" w:hAnsi="Arial" w:cs="Arial"/>
          <w:b w:val="0"/>
          <w:i w:val="0"/>
          <w:szCs w:val="24"/>
        </w:rPr>
        <w:t xml:space="preserve">the use of current local growth rates would </w:t>
      </w:r>
      <w:r w:rsidR="00D47B6C" w:rsidRPr="003906C3">
        <w:rPr>
          <w:rFonts w:ascii="Arial" w:hAnsi="Arial" w:cs="Arial"/>
          <w:b w:val="0"/>
          <w:i w:val="0"/>
          <w:szCs w:val="24"/>
        </w:rPr>
        <w:t>have a significantly distorting effect on  targets. More significa</w:t>
      </w:r>
      <w:r w:rsidR="00690AB2" w:rsidRPr="003906C3">
        <w:rPr>
          <w:rFonts w:ascii="Arial" w:hAnsi="Arial" w:cs="Arial"/>
          <w:b w:val="0"/>
          <w:i w:val="0"/>
          <w:szCs w:val="24"/>
        </w:rPr>
        <w:t>nt influences are</w:t>
      </w:r>
      <w:r w:rsidR="00D47B6C" w:rsidRPr="003906C3">
        <w:rPr>
          <w:rFonts w:ascii="Arial" w:hAnsi="Arial" w:cs="Arial"/>
          <w:b w:val="0"/>
          <w:i w:val="0"/>
          <w:szCs w:val="24"/>
        </w:rPr>
        <w:t xml:space="preserve"> the </w:t>
      </w:r>
      <w:proofErr w:type="spellStart"/>
      <w:r w:rsidR="00D47B6C" w:rsidRPr="003906C3">
        <w:rPr>
          <w:rFonts w:ascii="Arial" w:hAnsi="Arial" w:cs="Arial"/>
          <w:b w:val="0"/>
          <w:i w:val="0"/>
          <w:szCs w:val="24"/>
        </w:rPr>
        <w:t>taxbase</w:t>
      </w:r>
      <w:proofErr w:type="spellEnd"/>
      <w:r w:rsidR="00D47B6C" w:rsidRPr="003906C3">
        <w:rPr>
          <w:rFonts w:ascii="Arial" w:hAnsi="Arial" w:cs="Arial"/>
          <w:b w:val="0"/>
          <w:i w:val="0"/>
          <w:szCs w:val="24"/>
        </w:rPr>
        <w:t xml:space="preserve"> of authorities generating greater income, the buoyancy of local </w:t>
      </w:r>
      <w:r w:rsidR="00F77F99" w:rsidRPr="003906C3">
        <w:rPr>
          <w:rFonts w:ascii="Arial" w:hAnsi="Arial" w:cs="Arial"/>
          <w:b w:val="0"/>
          <w:i w:val="0"/>
          <w:szCs w:val="24"/>
        </w:rPr>
        <w:t>economies and proximity to the Capital.</w:t>
      </w:r>
    </w:p>
    <w:p w:rsidR="00404D0B" w:rsidRPr="003906C3" w:rsidRDefault="00404D0B" w:rsidP="00404D0B">
      <w:pPr>
        <w:pStyle w:val="ListParagraph"/>
        <w:rPr>
          <w:rFonts w:ascii="Arial" w:hAnsi="Arial" w:cs="Arial"/>
          <w:b/>
          <w:sz w:val="24"/>
          <w:szCs w:val="24"/>
        </w:rPr>
      </w:pPr>
    </w:p>
    <w:p w:rsidR="00404D0B" w:rsidRPr="003906C3" w:rsidRDefault="00404D0B"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Members would support for example a cap based on an annualized 3 year growth rate derived from  housing growth from 2012-13 to 2014-15</w:t>
      </w:r>
    </w:p>
    <w:p w:rsidR="00404D0B" w:rsidRPr="003906C3" w:rsidRDefault="00404D0B" w:rsidP="00404D0B">
      <w:pPr>
        <w:pStyle w:val="ListParagraph"/>
        <w:rPr>
          <w:rFonts w:ascii="Arial" w:hAnsi="Arial" w:cs="Arial"/>
          <w:b/>
          <w:sz w:val="24"/>
          <w:szCs w:val="24"/>
        </w:rPr>
      </w:pPr>
    </w:p>
    <w:p w:rsidR="00404D0B" w:rsidRPr="003906C3" w:rsidRDefault="00404D0B"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Our calculations suggest a cap based on around a third (32%) of historic </w:t>
      </w:r>
      <w:r w:rsidR="003B2E72" w:rsidRPr="003906C3">
        <w:rPr>
          <w:rFonts w:ascii="Arial" w:hAnsi="Arial" w:cs="Arial"/>
          <w:b w:val="0"/>
          <w:i w:val="0"/>
          <w:szCs w:val="24"/>
        </w:rPr>
        <w:t>individual growth rates would yield the same efficiency as an across the board 0.25% cut.</w:t>
      </w:r>
    </w:p>
    <w:p w:rsidR="003B2E72" w:rsidRPr="003906C3" w:rsidRDefault="003B2E72" w:rsidP="003B2E72">
      <w:pPr>
        <w:pStyle w:val="ListParagraph"/>
        <w:rPr>
          <w:rFonts w:ascii="Arial" w:hAnsi="Arial" w:cs="Arial"/>
          <w:b/>
          <w:sz w:val="24"/>
          <w:szCs w:val="24"/>
        </w:rPr>
      </w:pPr>
    </w:p>
    <w:p w:rsidR="003B2E72" w:rsidRPr="003906C3" w:rsidRDefault="003B2E72"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To use just one illustration, under a 0.25% cap </w:t>
      </w:r>
      <w:proofErr w:type="spellStart"/>
      <w:r w:rsidRPr="003906C3">
        <w:rPr>
          <w:rFonts w:ascii="Arial" w:hAnsi="Arial" w:cs="Arial"/>
          <w:b w:val="0"/>
          <w:i w:val="0"/>
          <w:szCs w:val="24"/>
        </w:rPr>
        <w:t>Blackpool</w:t>
      </w:r>
      <w:proofErr w:type="spellEnd"/>
      <w:r w:rsidRPr="003906C3">
        <w:rPr>
          <w:rFonts w:ascii="Arial" w:hAnsi="Arial" w:cs="Arial"/>
          <w:b w:val="0"/>
          <w:i w:val="0"/>
          <w:szCs w:val="24"/>
        </w:rPr>
        <w:t xml:space="preserve"> one of the poorest authorities in the country and with negative housing growth in the last three years would have received no NHB allocation for 2014-15. </w:t>
      </w:r>
    </w:p>
    <w:p w:rsidR="003B2E72" w:rsidRPr="003906C3" w:rsidRDefault="003B2E72" w:rsidP="003B2E72">
      <w:pPr>
        <w:pStyle w:val="ListParagraph"/>
        <w:rPr>
          <w:rFonts w:ascii="Arial" w:hAnsi="Arial" w:cs="Arial"/>
          <w:b/>
          <w:sz w:val="24"/>
          <w:szCs w:val="24"/>
        </w:rPr>
      </w:pPr>
    </w:p>
    <w:p w:rsidR="003B2E72" w:rsidRPr="003906C3" w:rsidRDefault="003B2E72"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Under our suggested formula </w:t>
      </w:r>
      <w:proofErr w:type="spellStart"/>
      <w:r w:rsidRPr="003906C3">
        <w:rPr>
          <w:rFonts w:ascii="Arial" w:hAnsi="Arial" w:cs="Arial"/>
          <w:b w:val="0"/>
          <w:i w:val="0"/>
          <w:szCs w:val="24"/>
        </w:rPr>
        <w:t>Blackpool</w:t>
      </w:r>
      <w:proofErr w:type="spellEnd"/>
      <w:r w:rsidRPr="003906C3">
        <w:rPr>
          <w:rFonts w:ascii="Arial" w:hAnsi="Arial" w:cs="Arial"/>
          <w:b w:val="0"/>
          <w:i w:val="0"/>
          <w:szCs w:val="24"/>
        </w:rPr>
        <w:t xml:space="preserve"> would receive  £203 thousan</w:t>
      </w:r>
      <w:r w:rsidR="00D76850">
        <w:rPr>
          <w:rFonts w:ascii="Arial" w:hAnsi="Arial" w:cs="Arial"/>
          <w:b w:val="0"/>
          <w:i w:val="0"/>
          <w:szCs w:val="24"/>
        </w:rPr>
        <w:t>d (excluding affordable homes) r</w:t>
      </w:r>
      <w:r w:rsidRPr="003906C3">
        <w:rPr>
          <w:rFonts w:ascii="Arial" w:hAnsi="Arial" w:cs="Arial"/>
          <w:b w:val="0"/>
          <w:i w:val="0"/>
          <w:szCs w:val="24"/>
        </w:rPr>
        <w:t>ecognizing the local difficulty</w:t>
      </w:r>
      <w:r w:rsidR="00D47B6C" w:rsidRPr="003906C3">
        <w:rPr>
          <w:rFonts w:ascii="Arial" w:hAnsi="Arial" w:cs="Arial"/>
          <w:b w:val="0"/>
          <w:i w:val="0"/>
          <w:szCs w:val="24"/>
        </w:rPr>
        <w:t xml:space="preserve"> </w:t>
      </w:r>
      <w:r w:rsidRPr="003906C3">
        <w:rPr>
          <w:rFonts w:ascii="Arial" w:hAnsi="Arial" w:cs="Arial"/>
          <w:b w:val="0"/>
          <w:i w:val="0"/>
          <w:szCs w:val="24"/>
        </w:rPr>
        <w:t>in generating housing growth in the area.</w:t>
      </w:r>
    </w:p>
    <w:p w:rsidR="00E216C1" w:rsidRPr="003906C3" w:rsidRDefault="00E216C1" w:rsidP="00F77F99">
      <w:pPr>
        <w:rPr>
          <w:rFonts w:ascii="Arial" w:hAnsi="Arial" w:cs="Arial"/>
          <w:b/>
          <w:sz w:val="24"/>
          <w:szCs w:val="24"/>
        </w:rPr>
      </w:pPr>
    </w:p>
    <w:p w:rsidR="00E216C1" w:rsidRPr="003906C3" w:rsidRDefault="00E216C1"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 xml:space="preserve">The chart below illustrates the spread of baseline targets </w:t>
      </w:r>
      <w:r w:rsidR="00EC0577" w:rsidRPr="003906C3">
        <w:rPr>
          <w:rFonts w:ascii="Arial" w:hAnsi="Arial" w:cs="Arial"/>
          <w:b w:val="0"/>
          <w:i w:val="0"/>
          <w:szCs w:val="24"/>
        </w:rPr>
        <w:t xml:space="preserve">that would apply </w:t>
      </w:r>
      <w:r w:rsidRPr="003906C3">
        <w:rPr>
          <w:rFonts w:ascii="Arial" w:hAnsi="Arial" w:cs="Arial"/>
          <w:b w:val="0"/>
          <w:i w:val="0"/>
          <w:szCs w:val="24"/>
        </w:rPr>
        <w:t xml:space="preserve">per </w:t>
      </w:r>
      <w:r w:rsidR="00EC0577" w:rsidRPr="003906C3">
        <w:rPr>
          <w:rFonts w:ascii="Arial" w:hAnsi="Arial" w:cs="Arial"/>
          <w:b w:val="0"/>
          <w:i w:val="0"/>
          <w:szCs w:val="24"/>
        </w:rPr>
        <w:t xml:space="preserve">authority under our proposal, </w:t>
      </w:r>
      <w:r w:rsidRPr="003906C3">
        <w:rPr>
          <w:rFonts w:ascii="Arial" w:hAnsi="Arial" w:cs="Arial"/>
          <w:b w:val="0"/>
          <w:i w:val="0"/>
          <w:szCs w:val="24"/>
        </w:rPr>
        <w:t xml:space="preserve">our member baselines </w:t>
      </w:r>
      <w:r w:rsidR="00EC0577" w:rsidRPr="003906C3">
        <w:rPr>
          <w:rFonts w:ascii="Arial" w:hAnsi="Arial" w:cs="Arial"/>
          <w:b w:val="0"/>
          <w:i w:val="0"/>
          <w:szCs w:val="24"/>
        </w:rPr>
        <w:t xml:space="preserve">are </w:t>
      </w:r>
      <w:r w:rsidRPr="003906C3">
        <w:rPr>
          <w:rFonts w:ascii="Arial" w:hAnsi="Arial" w:cs="Arial"/>
          <w:b w:val="0"/>
          <w:i w:val="0"/>
          <w:szCs w:val="24"/>
        </w:rPr>
        <w:t>highlighted in red and the 0.25% intersection shown.</w:t>
      </w:r>
    </w:p>
    <w:p w:rsidR="00D76850" w:rsidRPr="003906C3" w:rsidRDefault="00D76850" w:rsidP="00E216C1">
      <w:pPr>
        <w:rPr>
          <w:rFonts w:ascii="Arial" w:hAnsi="Arial" w:cs="Arial"/>
          <w:b/>
          <w:sz w:val="28"/>
          <w:szCs w:val="28"/>
        </w:rPr>
      </w:pPr>
    </w:p>
    <w:p w:rsidR="00D76850" w:rsidRPr="00D76850" w:rsidRDefault="00484B8F" w:rsidP="00D76850">
      <w:pPr>
        <w:pStyle w:val="ListParagraph"/>
        <w:ind w:left="1560"/>
        <w:rPr>
          <w:rFonts w:ascii="Arial" w:hAnsi="Arial" w:cs="Arial"/>
          <w:b/>
          <w:sz w:val="28"/>
          <w:szCs w:val="28"/>
        </w:rPr>
      </w:pPr>
      <w:r w:rsidRPr="00484B8F">
        <w:rPr>
          <w:noProof/>
          <w:color w:val="365F91" w:themeColor="accent1" w:themeShade="BF"/>
          <w:sz w:val="24"/>
          <w:szCs w:val="24"/>
          <w:lang w:eastAsia="en-GB"/>
        </w:rPr>
        <mc:AlternateContent>
          <mc:Choice Requires="wps">
            <w:drawing>
              <wp:anchor distT="0" distB="0" distL="114300" distR="114300" simplePos="0" relativeHeight="251664384" behindDoc="0" locked="0" layoutInCell="1" allowOverlap="1" wp14:anchorId="64F9413E" wp14:editId="4948D54B">
                <wp:simplePos x="0" y="0"/>
                <wp:positionH relativeFrom="column">
                  <wp:posOffset>4711700</wp:posOffset>
                </wp:positionH>
                <wp:positionV relativeFrom="paragraph">
                  <wp:posOffset>-6350</wp:posOffset>
                </wp:positionV>
                <wp:extent cx="1739900" cy="1511300"/>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511300"/>
                        </a:xfrm>
                        <a:prstGeom prst="rect">
                          <a:avLst/>
                        </a:prstGeom>
                        <a:solidFill>
                          <a:srgbClr val="FFFFFF"/>
                        </a:solidFill>
                        <a:ln w="9525">
                          <a:solidFill>
                            <a:srgbClr val="000000"/>
                          </a:solidFill>
                          <a:miter lim="800000"/>
                          <a:headEnd/>
                          <a:tailEnd/>
                        </a:ln>
                      </wps:spPr>
                      <wps:txbx>
                        <w:txbxContent>
                          <w:p w:rsidR="00484B8F" w:rsidRPr="00484B8F" w:rsidRDefault="00484B8F">
                            <w:pPr>
                              <w:rPr>
                                <w:b/>
                                <w:color w:val="365F91" w:themeColor="accent1" w:themeShade="BF"/>
                                <w:u w:val="single"/>
                              </w:rPr>
                            </w:pPr>
                            <w:r w:rsidRPr="00484B8F">
                              <w:rPr>
                                <w:b/>
                                <w:color w:val="365F91" w:themeColor="accent1" w:themeShade="BF"/>
                                <w:u w:val="single"/>
                              </w:rPr>
                              <w:t>Spread of Baseline Targets</w:t>
                            </w:r>
                          </w:p>
                          <w:p w:rsidR="00484B8F" w:rsidRPr="00484B8F" w:rsidRDefault="00484B8F">
                            <w:pPr>
                              <w:rPr>
                                <w:b/>
                                <w:color w:val="365F91" w:themeColor="accent1" w:themeShade="BF"/>
                              </w:rPr>
                            </w:pPr>
                            <w:r w:rsidRPr="00484B8F">
                              <w:rPr>
                                <w:b/>
                                <w:color w:val="365F91" w:themeColor="accent1" w:themeShade="BF"/>
                              </w:rPr>
                              <w:t>The chart shows the spread of individual auth</w:t>
                            </w:r>
                            <w:r>
                              <w:rPr>
                                <w:b/>
                                <w:color w:val="365F91" w:themeColor="accent1" w:themeShade="BF"/>
                              </w:rPr>
                              <w:t xml:space="preserve">ority baseline targets  based on 32% of </w:t>
                            </w:r>
                            <w:r w:rsidRPr="00484B8F">
                              <w:rPr>
                                <w:b/>
                                <w:color w:val="365F91" w:themeColor="accent1" w:themeShade="BF"/>
                              </w:rPr>
                              <w:t xml:space="preserve"> the previous 3 years performance</w:t>
                            </w:r>
                            <w:r>
                              <w:rPr>
                                <w:b/>
                                <w:color w:val="365F91" w:themeColor="accent1" w:themeShade="BF"/>
                              </w:rPr>
                              <w:t xml:space="preserve"> for each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pt;margin-top:-.5pt;width:137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">
                <v:textbox>
                  <w:txbxContent>
                    <w:p w:rsidR="00484B8F" w:rsidRPr="00484B8F" w:rsidRDefault="00484B8F">
                      <w:pPr>
                        <w:rPr>
                          <w:b/>
                          <w:color w:val="365F91" w:themeColor="accent1" w:themeShade="BF"/>
                          <w:u w:val="single"/>
                        </w:rPr>
                      </w:pPr>
                      <w:r w:rsidRPr="00484B8F">
                        <w:rPr>
                          <w:b/>
                          <w:color w:val="365F91" w:themeColor="accent1" w:themeShade="BF"/>
                          <w:u w:val="single"/>
                        </w:rPr>
                        <w:t>Spread of Baseline Targets</w:t>
                      </w:r>
                    </w:p>
                    <w:p w:rsidR="00484B8F" w:rsidRPr="00484B8F" w:rsidRDefault="00484B8F">
                      <w:pPr>
                        <w:rPr>
                          <w:b/>
                          <w:color w:val="365F91" w:themeColor="accent1" w:themeShade="BF"/>
                        </w:rPr>
                      </w:pPr>
                      <w:r w:rsidRPr="00484B8F">
                        <w:rPr>
                          <w:b/>
                          <w:color w:val="365F91" w:themeColor="accent1" w:themeShade="BF"/>
                        </w:rPr>
                        <w:t>The chart shows the spread of individual auth</w:t>
                      </w:r>
                      <w:r>
                        <w:rPr>
                          <w:b/>
                          <w:color w:val="365F91" w:themeColor="accent1" w:themeShade="BF"/>
                        </w:rPr>
                        <w:t xml:space="preserve">ority baseline targets  based on 32% of </w:t>
                      </w:r>
                      <w:r w:rsidRPr="00484B8F">
                        <w:rPr>
                          <w:b/>
                          <w:color w:val="365F91" w:themeColor="accent1" w:themeShade="BF"/>
                        </w:rPr>
                        <w:t xml:space="preserve"> the previous 3 years performance</w:t>
                      </w:r>
                      <w:r>
                        <w:rPr>
                          <w:b/>
                          <w:color w:val="365F91" w:themeColor="accent1" w:themeShade="BF"/>
                        </w:rPr>
                        <w:t xml:space="preserve"> for each authority</w:t>
                      </w:r>
                    </w:p>
                  </w:txbxContent>
                </v:textbox>
              </v:shape>
            </w:pict>
          </mc:Fallback>
        </mc:AlternateContent>
      </w:r>
      <w:r w:rsidRPr="003906C3">
        <w:rPr>
          <w:noProof/>
          <w:lang w:eastAsia="en-GB"/>
        </w:rPr>
        <mc:AlternateContent>
          <mc:Choice Requires="wps">
            <w:drawing>
              <wp:anchor distT="0" distB="0" distL="114300" distR="114300" simplePos="0" relativeHeight="251659264" behindDoc="0" locked="0" layoutInCell="1" allowOverlap="1" wp14:anchorId="4E081942" wp14:editId="27BDDA76">
                <wp:simplePos x="0" y="0"/>
                <wp:positionH relativeFrom="column">
                  <wp:posOffset>546100</wp:posOffset>
                </wp:positionH>
                <wp:positionV relativeFrom="paragraph">
                  <wp:posOffset>-6350</wp:posOffset>
                </wp:positionV>
                <wp:extent cx="342900" cy="1549400"/>
                <wp:effectExtent l="0" t="0" r="0" b="0"/>
                <wp:wrapNone/>
                <wp:docPr id="5" name="Rectangle 5"/>
                <wp:cNvGraphicFramePr/>
                <a:graphic xmlns:a="http://schemas.openxmlformats.org/drawingml/2006/main">
                  <a:graphicData uri="http://schemas.microsoft.com/office/word/2010/wordprocessingShape">
                    <wps:wsp>
                      <wps:cNvSpPr/>
                      <wps:spPr>
                        <a:xfrm>
                          <a:off x="0" y="0"/>
                          <a:ext cx="342900" cy="154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C0577" w:rsidRPr="00484B8F" w:rsidRDefault="00EC0577" w:rsidP="00EC0577">
                            <w:pPr>
                              <w:jc w:val="center"/>
                              <w:rPr>
                                <w:color w:val="365F91" w:themeColor="accent1" w:themeShade="BF"/>
                                <w:sz w:val="24"/>
                                <w:szCs w:val="24"/>
                              </w:rPr>
                            </w:pPr>
                            <w:r w:rsidRPr="00484B8F">
                              <w:rPr>
                                <w:color w:val="365F91" w:themeColor="accent1" w:themeShade="BF"/>
                                <w:sz w:val="24"/>
                                <w:szCs w:val="24"/>
                              </w:rPr>
                              <w:t>Baseline percentage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43pt;margin-top:-.5pt;width:27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" filled="f" stroked="f" strokeweight="2pt">
                <v:textbox style="layout-flow:vertical;mso-layout-flow-alt:bottom-to-top">
                  <w:txbxContent>
                    <w:p w:rsidR="00EC0577" w:rsidRPr="00484B8F" w:rsidRDefault="00EC0577" w:rsidP="00EC0577">
                      <w:pPr>
                        <w:jc w:val="center"/>
                        <w:rPr>
                          <w:color w:val="365F91" w:themeColor="accent1" w:themeShade="BF"/>
                          <w:sz w:val="24"/>
                          <w:szCs w:val="24"/>
                        </w:rPr>
                      </w:pPr>
                      <w:r w:rsidRPr="00484B8F">
                        <w:rPr>
                          <w:color w:val="365F91" w:themeColor="accent1" w:themeShade="BF"/>
                          <w:sz w:val="24"/>
                          <w:szCs w:val="24"/>
                        </w:rPr>
                        <w:t>Baseline percentage</w:t>
                      </w:r>
                    </w:p>
                  </w:txbxContent>
                </v:textbox>
              </v:rect>
            </w:pict>
          </mc:Fallback>
        </mc:AlternateContent>
      </w:r>
      <w:r w:rsidR="00E216C1" w:rsidRPr="003906C3">
        <w:rPr>
          <w:noProof/>
          <w:lang w:eastAsia="en-GB"/>
        </w:rPr>
        <w:drawing>
          <wp:inline distT="0" distB="0" distL="0" distR="0" wp14:anchorId="25793E03" wp14:editId="374CCC30">
            <wp:extent cx="3340100" cy="15113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16C1" w:rsidRPr="003906C3" w:rsidRDefault="00E216C1" w:rsidP="00E216C1">
      <w:pPr>
        <w:pStyle w:val="ListParagraph"/>
        <w:rPr>
          <w:rFonts w:ascii="Arial" w:hAnsi="Arial" w:cs="Arial"/>
          <w:b/>
          <w:sz w:val="28"/>
          <w:szCs w:val="28"/>
        </w:rPr>
      </w:pPr>
    </w:p>
    <w:p w:rsidR="00E216C1" w:rsidRPr="003906C3" w:rsidRDefault="00E216C1" w:rsidP="00E216C1">
      <w:pPr>
        <w:pStyle w:val="ListParagraph"/>
        <w:rPr>
          <w:rFonts w:ascii="Arial" w:hAnsi="Arial" w:cs="Arial"/>
          <w:b/>
          <w:sz w:val="28"/>
          <w:szCs w:val="28"/>
        </w:rPr>
      </w:pPr>
    </w:p>
    <w:p w:rsidR="00EC0577" w:rsidRPr="003906C3" w:rsidRDefault="00EC0577" w:rsidP="00E216C1">
      <w:pPr>
        <w:pStyle w:val="ListParagraph"/>
        <w:rPr>
          <w:rFonts w:ascii="Arial" w:hAnsi="Arial" w:cs="Arial"/>
          <w:b/>
          <w:sz w:val="28"/>
          <w:szCs w:val="28"/>
        </w:rPr>
      </w:pPr>
    </w:p>
    <w:p w:rsidR="00E216C1" w:rsidRPr="003906C3" w:rsidRDefault="00E216C1"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DCLG may wish to consider capping baselines above a certain percentage.</w:t>
      </w:r>
    </w:p>
    <w:p w:rsidR="00E216C1" w:rsidRPr="003906C3" w:rsidRDefault="00E216C1" w:rsidP="00E216C1">
      <w:pPr>
        <w:pStyle w:val="BodyText3"/>
        <w:ind w:left="792"/>
        <w:jc w:val="both"/>
        <w:rPr>
          <w:rFonts w:ascii="Arial" w:hAnsi="Arial" w:cs="Arial"/>
          <w:b w:val="0"/>
          <w:i w:val="0"/>
          <w:szCs w:val="24"/>
        </w:rPr>
      </w:pPr>
    </w:p>
    <w:p w:rsidR="00E216C1" w:rsidRPr="003906C3" w:rsidRDefault="00E216C1"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128 authorities would be above the 0.25% baseline an</w:t>
      </w:r>
      <w:r w:rsidR="00D47B6C" w:rsidRPr="003906C3">
        <w:rPr>
          <w:rFonts w:ascii="Arial" w:hAnsi="Arial" w:cs="Arial"/>
          <w:b w:val="0"/>
          <w:i w:val="0"/>
          <w:szCs w:val="24"/>
        </w:rPr>
        <w:t>d 184 authorities below with the</w:t>
      </w:r>
      <w:r w:rsidRPr="003906C3">
        <w:rPr>
          <w:rFonts w:ascii="Arial" w:hAnsi="Arial" w:cs="Arial"/>
          <w:b w:val="0"/>
          <w:i w:val="0"/>
          <w:szCs w:val="24"/>
        </w:rPr>
        <w:t xml:space="preserve"> remainder bein</w:t>
      </w:r>
      <w:r w:rsidR="00C12AFC" w:rsidRPr="003906C3">
        <w:rPr>
          <w:rFonts w:ascii="Arial" w:hAnsi="Arial" w:cs="Arial"/>
          <w:b w:val="0"/>
          <w:i w:val="0"/>
          <w:szCs w:val="24"/>
        </w:rPr>
        <w:t>g at the proposed fixed bas</w:t>
      </w:r>
      <w:r w:rsidR="00657222" w:rsidRPr="003906C3">
        <w:rPr>
          <w:rFonts w:ascii="Arial" w:hAnsi="Arial" w:cs="Arial"/>
          <w:b w:val="0"/>
          <w:i w:val="0"/>
          <w:szCs w:val="24"/>
        </w:rPr>
        <w:t>e</w:t>
      </w:r>
      <w:r w:rsidR="00C12AFC" w:rsidRPr="003906C3">
        <w:rPr>
          <w:rFonts w:ascii="Arial" w:hAnsi="Arial" w:cs="Arial"/>
          <w:b w:val="0"/>
          <w:i w:val="0"/>
          <w:szCs w:val="24"/>
        </w:rPr>
        <w:t>line</w:t>
      </w:r>
      <w:r w:rsidR="00657222" w:rsidRPr="003906C3">
        <w:rPr>
          <w:rFonts w:ascii="Arial" w:hAnsi="Arial" w:cs="Arial"/>
          <w:b w:val="0"/>
          <w:i w:val="0"/>
          <w:szCs w:val="24"/>
        </w:rPr>
        <w:t>.</w:t>
      </w:r>
    </w:p>
    <w:p w:rsidR="00657222" w:rsidRPr="003906C3" w:rsidRDefault="00657222" w:rsidP="00657222">
      <w:pPr>
        <w:pStyle w:val="ListParagraph"/>
        <w:rPr>
          <w:rFonts w:ascii="Arial" w:hAnsi="Arial" w:cs="Arial"/>
          <w:b/>
          <w:szCs w:val="24"/>
        </w:rPr>
      </w:pPr>
    </w:p>
    <w:p w:rsidR="00657222" w:rsidRPr="003906C3" w:rsidRDefault="00657222"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As a further point of principle SIGOMA submits that any deadweight adjustment should take account of and exclude from deadweight adjustment any authorities who are net losers under New Homes Bonus (</w:t>
      </w:r>
      <w:proofErr w:type="spellStart"/>
      <w:r w:rsidRPr="003906C3">
        <w:rPr>
          <w:rFonts w:ascii="Arial" w:hAnsi="Arial" w:cs="Arial"/>
          <w:b w:val="0"/>
          <w:i w:val="0"/>
          <w:szCs w:val="24"/>
        </w:rPr>
        <w:t>ie</w:t>
      </w:r>
      <w:proofErr w:type="spellEnd"/>
      <w:r w:rsidRPr="003906C3">
        <w:rPr>
          <w:rFonts w:ascii="Arial" w:hAnsi="Arial" w:cs="Arial"/>
          <w:b w:val="0"/>
          <w:i w:val="0"/>
          <w:szCs w:val="24"/>
        </w:rPr>
        <w:t xml:space="preserve"> receive less in NHB than they lose as a result of topslice to pay for the scheme).</w:t>
      </w:r>
    </w:p>
    <w:p w:rsidR="00C12AFC" w:rsidRPr="003906C3" w:rsidRDefault="00C12AFC" w:rsidP="00C12AFC">
      <w:pPr>
        <w:pStyle w:val="ListParagraph"/>
        <w:rPr>
          <w:rFonts w:ascii="Arial" w:hAnsi="Arial" w:cs="Arial"/>
          <w:b/>
          <w:sz w:val="28"/>
          <w:szCs w:val="28"/>
        </w:rPr>
      </w:pPr>
    </w:p>
    <w:p w:rsidR="00C12AFC" w:rsidRPr="003906C3" w:rsidRDefault="00AD213E" w:rsidP="00C12AFC">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11</w:t>
      </w:r>
      <w:r w:rsidR="00C12AFC" w:rsidRPr="003906C3">
        <w:rPr>
          <w:rFonts w:ascii="Arial" w:hAnsi="Arial" w:cs="Arial"/>
          <w:i w:val="0"/>
          <w:color w:val="943634" w:themeColor="accent2" w:themeShade="BF"/>
          <w:sz w:val="28"/>
          <w:szCs w:val="28"/>
        </w:rPr>
        <w:t>Adjusting the threshold for abnormal growth</w:t>
      </w:r>
    </w:p>
    <w:p w:rsidR="00C12AFC" w:rsidRPr="003906C3" w:rsidRDefault="00C12AFC" w:rsidP="00C12AFC">
      <w:pPr>
        <w:pStyle w:val="ListParagraph"/>
        <w:rPr>
          <w:rFonts w:ascii="Arial" w:hAnsi="Arial" w:cs="Arial"/>
          <w:b/>
          <w:sz w:val="28"/>
          <w:szCs w:val="28"/>
        </w:rPr>
      </w:pPr>
    </w:p>
    <w:p w:rsidR="00C12AFC" w:rsidRPr="003906C3" w:rsidRDefault="00C12AFC"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SIGOMA would not support the increasing of a fixed baseline to control NHB payments in the event of abnormal growth.</w:t>
      </w:r>
    </w:p>
    <w:p w:rsidR="00C12AFC" w:rsidRPr="003906C3" w:rsidRDefault="00C12AFC" w:rsidP="00C12AFC">
      <w:pPr>
        <w:pStyle w:val="BodyText3"/>
        <w:ind w:left="792"/>
        <w:jc w:val="both"/>
        <w:rPr>
          <w:rFonts w:ascii="Arial" w:hAnsi="Arial" w:cs="Arial"/>
          <w:b w:val="0"/>
          <w:i w:val="0"/>
          <w:szCs w:val="24"/>
        </w:rPr>
      </w:pPr>
    </w:p>
    <w:p w:rsidR="00C12AFC" w:rsidRPr="003906C3" w:rsidRDefault="00C12AFC" w:rsidP="00404D0B">
      <w:pPr>
        <w:pStyle w:val="BodyText3"/>
        <w:numPr>
          <w:ilvl w:val="1"/>
          <w:numId w:val="17"/>
        </w:numPr>
        <w:jc w:val="both"/>
        <w:rPr>
          <w:rFonts w:ascii="Arial" w:hAnsi="Arial" w:cs="Arial"/>
          <w:b w:val="0"/>
          <w:i w:val="0"/>
          <w:szCs w:val="24"/>
        </w:rPr>
      </w:pPr>
      <w:r w:rsidRPr="003906C3">
        <w:rPr>
          <w:rFonts w:ascii="Arial" w:hAnsi="Arial" w:cs="Arial"/>
          <w:b w:val="0"/>
          <w:i w:val="0"/>
          <w:szCs w:val="24"/>
        </w:rPr>
        <w:t>It is possible, if not likely in the current economic climate, that abnormal growth would emanate from the South and East. Increasing a fixed baseline to control this could exclude certain slower growing authorities from NHB entirely.</w:t>
      </w:r>
    </w:p>
    <w:p w:rsidR="00C12AFC" w:rsidRPr="003906C3" w:rsidRDefault="00C12AFC" w:rsidP="00C12AFC">
      <w:pPr>
        <w:pStyle w:val="ListParagraph"/>
        <w:rPr>
          <w:rFonts w:ascii="Arial" w:hAnsi="Arial" w:cs="Arial"/>
          <w:b/>
          <w:sz w:val="28"/>
          <w:szCs w:val="28"/>
        </w:rPr>
      </w:pPr>
    </w:p>
    <w:p w:rsidR="007541CC" w:rsidRPr="003906C3" w:rsidRDefault="00C12AFC" w:rsidP="007541CC">
      <w:pPr>
        <w:pStyle w:val="BodyText3"/>
        <w:numPr>
          <w:ilvl w:val="1"/>
          <w:numId w:val="17"/>
        </w:numPr>
        <w:jc w:val="both"/>
        <w:rPr>
          <w:rFonts w:ascii="Arial" w:hAnsi="Arial" w:cs="Arial"/>
          <w:b w:val="0"/>
          <w:i w:val="0"/>
          <w:szCs w:val="24"/>
        </w:rPr>
      </w:pPr>
      <w:r w:rsidRPr="003906C3">
        <w:rPr>
          <w:rFonts w:ascii="Arial" w:hAnsi="Arial" w:cs="Arial"/>
          <w:b w:val="0"/>
          <w:i w:val="0"/>
          <w:szCs w:val="24"/>
        </w:rPr>
        <w:t>A more effective and fairer method would be to cap NHB payments for those authorities exhibiting abnormal growth, something which the department could publish in advance</w:t>
      </w:r>
      <w:r w:rsidR="00AD213E" w:rsidRPr="003906C3">
        <w:rPr>
          <w:rFonts w:ascii="Arial" w:hAnsi="Arial" w:cs="Arial"/>
          <w:b w:val="0"/>
          <w:i w:val="0"/>
          <w:szCs w:val="24"/>
        </w:rPr>
        <w:t>.</w:t>
      </w:r>
    </w:p>
    <w:p w:rsidR="00516BB0" w:rsidRPr="003906C3" w:rsidRDefault="00516BB0" w:rsidP="00516BB0">
      <w:pPr>
        <w:pStyle w:val="ListParagraph"/>
        <w:rPr>
          <w:rFonts w:ascii="Arial" w:hAnsi="Arial" w:cs="Arial"/>
          <w:b/>
          <w:szCs w:val="24"/>
        </w:rPr>
      </w:pPr>
    </w:p>
    <w:p w:rsidR="00516BB0" w:rsidRPr="003906C3" w:rsidRDefault="00516BB0" w:rsidP="003906C3">
      <w:pPr>
        <w:pStyle w:val="BodyText3"/>
        <w:numPr>
          <w:ilvl w:val="1"/>
          <w:numId w:val="17"/>
        </w:numPr>
        <w:jc w:val="both"/>
        <w:rPr>
          <w:rFonts w:ascii="Arial" w:hAnsi="Arial" w:cs="Arial"/>
          <w:b w:val="0"/>
          <w:i w:val="0"/>
          <w:szCs w:val="24"/>
        </w:rPr>
      </w:pPr>
      <w:r w:rsidRPr="003906C3">
        <w:rPr>
          <w:rFonts w:ascii="Arial" w:hAnsi="Arial" w:cs="Arial"/>
          <w:b w:val="0"/>
          <w:i w:val="0"/>
          <w:szCs w:val="24"/>
        </w:rPr>
        <w:t>A second alternative, if a flat rate of NHB</w:t>
      </w:r>
      <w:r w:rsidR="00F77F99" w:rsidRPr="003906C3">
        <w:rPr>
          <w:rFonts w:ascii="Arial" w:hAnsi="Arial" w:cs="Arial"/>
          <w:b w:val="0"/>
          <w:i w:val="0"/>
          <w:szCs w:val="24"/>
        </w:rPr>
        <w:t xml:space="preserve"> based on unweighted housing growth </w:t>
      </w:r>
      <w:r w:rsidRPr="003906C3">
        <w:rPr>
          <w:rFonts w:ascii="Arial" w:hAnsi="Arial" w:cs="Arial"/>
          <w:b w:val="0"/>
          <w:i w:val="0"/>
          <w:szCs w:val="24"/>
        </w:rPr>
        <w:t>was used would be to adjust the NHB flat rate so that each authority received a proportionate reduction in its NHB allocation.</w:t>
      </w:r>
    </w:p>
    <w:p w:rsidR="00AD213E" w:rsidRPr="003906C3" w:rsidRDefault="00AD213E" w:rsidP="00AD213E">
      <w:pPr>
        <w:pStyle w:val="ListParagraph"/>
        <w:rPr>
          <w:rFonts w:ascii="Arial" w:hAnsi="Arial" w:cs="Arial"/>
          <w:b/>
          <w:sz w:val="24"/>
          <w:szCs w:val="24"/>
        </w:rPr>
      </w:pPr>
    </w:p>
    <w:p w:rsidR="00AD213E" w:rsidRPr="003906C3" w:rsidRDefault="00516BB0" w:rsidP="007541CC">
      <w:pPr>
        <w:pStyle w:val="BodyText3"/>
        <w:numPr>
          <w:ilvl w:val="1"/>
          <w:numId w:val="17"/>
        </w:numPr>
        <w:jc w:val="both"/>
        <w:rPr>
          <w:rFonts w:ascii="Arial" w:hAnsi="Arial" w:cs="Arial"/>
          <w:b w:val="0"/>
          <w:i w:val="0"/>
          <w:szCs w:val="24"/>
        </w:rPr>
      </w:pPr>
      <w:r w:rsidRPr="003906C3">
        <w:rPr>
          <w:rFonts w:ascii="Arial" w:hAnsi="Arial" w:cs="Arial"/>
          <w:b w:val="0"/>
          <w:i w:val="0"/>
          <w:szCs w:val="24"/>
        </w:rPr>
        <w:t>Yet a</w:t>
      </w:r>
      <w:r w:rsidR="00AD213E" w:rsidRPr="003906C3">
        <w:rPr>
          <w:rFonts w:ascii="Arial" w:hAnsi="Arial" w:cs="Arial"/>
          <w:b w:val="0"/>
          <w:i w:val="0"/>
          <w:szCs w:val="24"/>
        </w:rPr>
        <w:t>n</w:t>
      </w:r>
      <w:r w:rsidRPr="003906C3">
        <w:rPr>
          <w:rFonts w:ascii="Arial" w:hAnsi="Arial" w:cs="Arial"/>
          <w:b w:val="0"/>
          <w:i w:val="0"/>
          <w:szCs w:val="24"/>
        </w:rPr>
        <w:t>other</w:t>
      </w:r>
      <w:r w:rsidR="00AD213E" w:rsidRPr="003906C3">
        <w:rPr>
          <w:rFonts w:ascii="Arial" w:hAnsi="Arial" w:cs="Arial"/>
          <w:b w:val="0"/>
          <w:i w:val="0"/>
          <w:szCs w:val="24"/>
        </w:rPr>
        <w:t xml:space="preserve"> alternative method by which to fix costs is to </w:t>
      </w:r>
      <w:r w:rsidRPr="003906C3">
        <w:rPr>
          <w:rFonts w:ascii="Arial" w:hAnsi="Arial" w:cs="Arial"/>
          <w:b w:val="0"/>
          <w:i w:val="0"/>
          <w:szCs w:val="24"/>
        </w:rPr>
        <w:t xml:space="preserve">dispense with NHB and </w:t>
      </w:r>
      <w:r w:rsidR="00AD213E" w:rsidRPr="003906C3">
        <w:rPr>
          <w:rFonts w:ascii="Arial" w:hAnsi="Arial" w:cs="Arial"/>
          <w:b w:val="0"/>
          <w:i w:val="0"/>
          <w:szCs w:val="24"/>
        </w:rPr>
        <w:t>treat payments to support housing growth as any other grant</w:t>
      </w:r>
      <w:r w:rsidRPr="003906C3">
        <w:rPr>
          <w:rFonts w:ascii="Arial" w:hAnsi="Arial" w:cs="Arial"/>
          <w:b w:val="0"/>
          <w:i w:val="0"/>
          <w:szCs w:val="24"/>
        </w:rPr>
        <w:t>,</w:t>
      </w:r>
      <w:r w:rsidR="00AD213E" w:rsidRPr="003906C3">
        <w:rPr>
          <w:rFonts w:ascii="Arial" w:hAnsi="Arial" w:cs="Arial"/>
          <w:b w:val="0"/>
          <w:i w:val="0"/>
          <w:szCs w:val="24"/>
        </w:rPr>
        <w:t xml:space="preserve"> with a baseline allocation and incentive element with</w:t>
      </w:r>
      <w:r w:rsidRPr="003906C3">
        <w:rPr>
          <w:rFonts w:ascii="Arial" w:hAnsi="Arial" w:cs="Arial"/>
          <w:b w:val="0"/>
          <w:i w:val="0"/>
          <w:szCs w:val="24"/>
        </w:rPr>
        <w:t>in</w:t>
      </w:r>
      <w:r w:rsidR="00AD213E" w:rsidRPr="003906C3">
        <w:rPr>
          <w:rFonts w:ascii="Arial" w:hAnsi="Arial" w:cs="Arial"/>
          <w:b w:val="0"/>
          <w:i w:val="0"/>
          <w:szCs w:val="24"/>
        </w:rPr>
        <w:t xml:space="preserve"> settlement funding. </w:t>
      </w:r>
    </w:p>
    <w:p w:rsidR="00AD213E" w:rsidRPr="003906C3" w:rsidRDefault="00AD213E" w:rsidP="00AD213E">
      <w:pPr>
        <w:pStyle w:val="ListParagraph"/>
        <w:rPr>
          <w:rFonts w:ascii="Arial" w:hAnsi="Arial" w:cs="Arial"/>
          <w:b/>
          <w:sz w:val="28"/>
          <w:szCs w:val="28"/>
        </w:rPr>
      </w:pPr>
    </w:p>
    <w:p w:rsidR="00AD213E" w:rsidRPr="003906C3" w:rsidRDefault="00AD213E" w:rsidP="00AD213E">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12 Treatment of National Parks</w:t>
      </w:r>
    </w:p>
    <w:p w:rsidR="00AD213E" w:rsidRPr="003906C3" w:rsidRDefault="00AD213E" w:rsidP="00AD213E">
      <w:pPr>
        <w:pStyle w:val="ListParagraph"/>
        <w:rPr>
          <w:rFonts w:ascii="Arial" w:hAnsi="Arial" w:cs="Arial"/>
          <w:b/>
          <w:sz w:val="28"/>
          <w:szCs w:val="28"/>
        </w:rPr>
      </w:pPr>
    </w:p>
    <w:p w:rsidR="00AD213E" w:rsidRPr="003906C3" w:rsidRDefault="00AD213E" w:rsidP="007541CC">
      <w:pPr>
        <w:pStyle w:val="BodyText3"/>
        <w:numPr>
          <w:ilvl w:val="1"/>
          <w:numId w:val="17"/>
        </w:numPr>
        <w:jc w:val="both"/>
        <w:rPr>
          <w:rFonts w:ascii="Arial" w:hAnsi="Arial" w:cs="Arial"/>
          <w:b w:val="0"/>
          <w:i w:val="0"/>
          <w:szCs w:val="24"/>
        </w:rPr>
      </w:pPr>
      <w:r w:rsidRPr="003906C3">
        <w:rPr>
          <w:rFonts w:ascii="Arial" w:hAnsi="Arial" w:cs="Arial"/>
          <w:b w:val="0"/>
          <w:i w:val="0"/>
          <w:szCs w:val="24"/>
        </w:rPr>
        <w:t>No comment</w:t>
      </w:r>
    </w:p>
    <w:p w:rsidR="00AD213E" w:rsidRPr="003906C3" w:rsidRDefault="00AD213E" w:rsidP="00AD213E">
      <w:pPr>
        <w:pStyle w:val="BodyText3"/>
        <w:ind w:left="792"/>
        <w:jc w:val="both"/>
        <w:rPr>
          <w:rFonts w:ascii="Arial" w:hAnsi="Arial" w:cs="Arial"/>
          <w:b w:val="0"/>
          <w:i w:val="0"/>
          <w:szCs w:val="24"/>
        </w:rPr>
      </w:pPr>
    </w:p>
    <w:p w:rsidR="00AD213E" w:rsidRPr="003906C3" w:rsidRDefault="00AD213E" w:rsidP="00AD213E">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13 County Councils</w:t>
      </w:r>
    </w:p>
    <w:p w:rsidR="00AD213E" w:rsidRPr="003906C3" w:rsidRDefault="00AD213E" w:rsidP="00AD213E">
      <w:pPr>
        <w:pStyle w:val="BodyText3"/>
        <w:ind w:left="502"/>
        <w:jc w:val="both"/>
        <w:rPr>
          <w:rFonts w:ascii="Arial" w:hAnsi="Arial" w:cs="Arial"/>
          <w:b w:val="0"/>
          <w:i w:val="0"/>
          <w:sz w:val="28"/>
          <w:szCs w:val="28"/>
        </w:rPr>
      </w:pPr>
    </w:p>
    <w:p w:rsidR="00AD213E" w:rsidRPr="003906C3" w:rsidRDefault="00AD213E" w:rsidP="002C7CE0">
      <w:pPr>
        <w:pStyle w:val="BodyText3"/>
        <w:numPr>
          <w:ilvl w:val="1"/>
          <w:numId w:val="17"/>
        </w:numPr>
        <w:jc w:val="both"/>
        <w:rPr>
          <w:rFonts w:ascii="Arial" w:hAnsi="Arial" w:cs="Arial"/>
          <w:b w:val="0"/>
          <w:i w:val="0"/>
          <w:szCs w:val="24"/>
        </w:rPr>
      </w:pPr>
      <w:r w:rsidRPr="003906C3">
        <w:rPr>
          <w:rFonts w:ascii="Arial" w:hAnsi="Arial" w:cs="Arial"/>
          <w:b w:val="0"/>
          <w:i w:val="0"/>
          <w:szCs w:val="24"/>
        </w:rPr>
        <w:t>It is our view that any restrictions applied to NHB funds should</w:t>
      </w:r>
      <w:r w:rsidR="002C7CE0" w:rsidRPr="003906C3">
        <w:rPr>
          <w:rFonts w:ascii="Arial" w:hAnsi="Arial" w:cs="Arial"/>
          <w:b w:val="0"/>
          <w:i w:val="0"/>
          <w:szCs w:val="24"/>
        </w:rPr>
        <w:t xml:space="preserve"> be borne within the shire area affected</w:t>
      </w:r>
      <w:r w:rsidRPr="003906C3">
        <w:rPr>
          <w:rFonts w:ascii="Arial" w:hAnsi="Arial" w:cs="Arial"/>
          <w:b w:val="0"/>
          <w:i w:val="0"/>
          <w:szCs w:val="24"/>
        </w:rPr>
        <w:t xml:space="preserve">. </w:t>
      </w:r>
      <w:r w:rsidR="002C7CE0" w:rsidRPr="003906C3">
        <w:rPr>
          <w:rFonts w:ascii="Arial" w:hAnsi="Arial" w:cs="Arial"/>
          <w:b w:val="0"/>
          <w:i w:val="0"/>
          <w:szCs w:val="24"/>
        </w:rPr>
        <w:t>Members leave the issue of the allocation of cuts within the shire regions for the comment of two tier authorities.</w:t>
      </w:r>
    </w:p>
    <w:p w:rsidR="002C7CE0" w:rsidRPr="003906C3" w:rsidRDefault="002C7CE0" w:rsidP="002C7CE0">
      <w:pPr>
        <w:pStyle w:val="ListParagraph"/>
        <w:rPr>
          <w:rFonts w:ascii="Arial" w:hAnsi="Arial" w:cs="Arial"/>
          <w:b/>
          <w:sz w:val="28"/>
          <w:szCs w:val="28"/>
        </w:rPr>
      </w:pPr>
    </w:p>
    <w:p w:rsidR="002C7CE0" w:rsidRPr="003906C3" w:rsidRDefault="002C7CE0" w:rsidP="00AD213E">
      <w:pPr>
        <w:pStyle w:val="BodyText3"/>
        <w:numPr>
          <w:ilvl w:val="0"/>
          <w:numId w:val="17"/>
        </w:numPr>
        <w:jc w:val="both"/>
        <w:rPr>
          <w:rFonts w:ascii="Arial" w:hAnsi="Arial" w:cs="Arial"/>
          <w:i w:val="0"/>
          <w:color w:val="943634" w:themeColor="accent2" w:themeShade="BF"/>
          <w:sz w:val="28"/>
          <w:szCs w:val="28"/>
        </w:rPr>
      </w:pPr>
      <w:r w:rsidRPr="003906C3">
        <w:rPr>
          <w:rFonts w:ascii="Arial" w:hAnsi="Arial" w:cs="Arial"/>
          <w:i w:val="0"/>
          <w:color w:val="943634" w:themeColor="accent2" w:themeShade="BF"/>
          <w:sz w:val="28"/>
          <w:szCs w:val="28"/>
        </w:rPr>
        <w:t>Question 14 Protecting authorities from reduced NHB</w:t>
      </w:r>
    </w:p>
    <w:p w:rsidR="002C7CE0" w:rsidRPr="003906C3" w:rsidRDefault="002C7CE0" w:rsidP="002C7CE0">
      <w:pPr>
        <w:pStyle w:val="BodyText3"/>
        <w:ind w:left="502"/>
        <w:jc w:val="both"/>
        <w:rPr>
          <w:rFonts w:ascii="Arial" w:hAnsi="Arial" w:cs="Arial"/>
          <w:b w:val="0"/>
          <w:i w:val="0"/>
          <w:sz w:val="28"/>
          <w:szCs w:val="28"/>
        </w:rPr>
      </w:pPr>
    </w:p>
    <w:p w:rsidR="002C7CE0" w:rsidRPr="003906C3" w:rsidRDefault="002C7CE0" w:rsidP="002C7CE0">
      <w:pPr>
        <w:pStyle w:val="BodyText3"/>
        <w:numPr>
          <w:ilvl w:val="1"/>
          <w:numId w:val="17"/>
        </w:numPr>
        <w:jc w:val="both"/>
        <w:rPr>
          <w:rFonts w:ascii="Arial" w:hAnsi="Arial" w:cs="Arial"/>
          <w:b w:val="0"/>
          <w:i w:val="0"/>
          <w:szCs w:val="24"/>
        </w:rPr>
      </w:pPr>
      <w:r w:rsidRPr="003906C3">
        <w:rPr>
          <w:rFonts w:ascii="Arial" w:hAnsi="Arial" w:cs="Arial"/>
          <w:b w:val="0"/>
          <w:i w:val="0"/>
          <w:szCs w:val="24"/>
        </w:rPr>
        <w:t>SIGOMA authorities do not per se have objections to the protection of authorities from the impact of cuts.</w:t>
      </w:r>
    </w:p>
    <w:p w:rsidR="002C7CE0" w:rsidRPr="003906C3" w:rsidRDefault="002C7CE0" w:rsidP="002C7CE0">
      <w:pPr>
        <w:pStyle w:val="BodyText3"/>
        <w:ind w:left="792"/>
        <w:jc w:val="both"/>
        <w:rPr>
          <w:rFonts w:ascii="Arial" w:hAnsi="Arial" w:cs="Arial"/>
          <w:b w:val="0"/>
          <w:i w:val="0"/>
          <w:szCs w:val="24"/>
        </w:rPr>
      </w:pPr>
    </w:p>
    <w:p w:rsidR="007541CC" w:rsidRPr="003906C3" w:rsidRDefault="002C7CE0" w:rsidP="002C7CE0">
      <w:pPr>
        <w:pStyle w:val="BodyText3"/>
        <w:numPr>
          <w:ilvl w:val="1"/>
          <w:numId w:val="17"/>
        </w:numPr>
        <w:jc w:val="both"/>
        <w:rPr>
          <w:rFonts w:ascii="Arial" w:hAnsi="Arial" w:cs="Arial"/>
          <w:b w:val="0"/>
          <w:i w:val="0"/>
          <w:szCs w:val="24"/>
        </w:rPr>
      </w:pPr>
      <w:r w:rsidRPr="003906C3">
        <w:rPr>
          <w:rFonts w:ascii="Arial" w:hAnsi="Arial" w:cs="Arial"/>
          <w:b w:val="0"/>
          <w:i w:val="0"/>
          <w:szCs w:val="24"/>
        </w:rPr>
        <w:lastRenderedPageBreak/>
        <w:t>Our</w:t>
      </w:r>
      <w:r w:rsidR="00484B8F">
        <w:rPr>
          <w:rFonts w:ascii="Arial" w:hAnsi="Arial" w:cs="Arial"/>
          <w:b w:val="0"/>
          <w:i w:val="0"/>
          <w:szCs w:val="24"/>
        </w:rPr>
        <w:t xml:space="preserve"> members do object </w:t>
      </w:r>
      <w:r w:rsidRPr="003906C3">
        <w:rPr>
          <w:rFonts w:ascii="Arial" w:hAnsi="Arial" w:cs="Arial"/>
          <w:b w:val="0"/>
          <w:i w:val="0"/>
          <w:szCs w:val="24"/>
        </w:rPr>
        <w:t xml:space="preserve"> when this is done at the expense of other authorities</w:t>
      </w:r>
      <w:r w:rsidR="00484B8F">
        <w:rPr>
          <w:rFonts w:ascii="Arial" w:hAnsi="Arial" w:cs="Arial"/>
          <w:b w:val="0"/>
          <w:i w:val="0"/>
          <w:szCs w:val="24"/>
        </w:rPr>
        <w:t>, rather than over all Departmental budgets</w:t>
      </w:r>
      <w:r w:rsidRPr="003906C3">
        <w:rPr>
          <w:rFonts w:ascii="Arial" w:hAnsi="Arial" w:cs="Arial"/>
          <w:b w:val="0"/>
          <w:i w:val="0"/>
          <w:szCs w:val="24"/>
        </w:rPr>
        <w:t xml:space="preserve"> and </w:t>
      </w:r>
      <w:r w:rsidR="00484B8F">
        <w:rPr>
          <w:rFonts w:ascii="Arial" w:hAnsi="Arial" w:cs="Arial"/>
          <w:b w:val="0"/>
          <w:i w:val="0"/>
          <w:szCs w:val="24"/>
        </w:rPr>
        <w:t xml:space="preserve">done </w:t>
      </w:r>
      <w:r w:rsidRPr="003906C3">
        <w:rPr>
          <w:rFonts w:ascii="Arial" w:hAnsi="Arial" w:cs="Arial"/>
          <w:b w:val="0"/>
          <w:i w:val="0"/>
          <w:szCs w:val="24"/>
        </w:rPr>
        <w:t>in a manner that ignores the needs of authorities.</w:t>
      </w:r>
    </w:p>
    <w:p w:rsidR="002C7CE0" w:rsidRPr="003906C3" w:rsidRDefault="002C7CE0" w:rsidP="002C7CE0">
      <w:pPr>
        <w:pStyle w:val="ListParagraph"/>
        <w:rPr>
          <w:rFonts w:ascii="Arial" w:hAnsi="Arial" w:cs="Arial"/>
          <w:b/>
          <w:sz w:val="24"/>
          <w:szCs w:val="24"/>
        </w:rPr>
      </w:pPr>
    </w:p>
    <w:p w:rsidR="002C7CE0" w:rsidRPr="003906C3" w:rsidRDefault="002C7CE0" w:rsidP="002C7CE0">
      <w:pPr>
        <w:pStyle w:val="BodyText3"/>
        <w:numPr>
          <w:ilvl w:val="1"/>
          <w:numId w:val="17"/>
        </w:numPr>
        <w:jc w:val="both"/>
        <w:rPr>
          <w:rFonts w:ascii="Arial" w:hAnsi="Arial" w:cs="Arial"/>
          <w:b w:val="0"/>
          <w:i w:val="0"/>
          <w:szCs w:val="24"/>
        </w:rPr>
      </w:pPr>
      <w:r w:rsidRPr="003906C3">
        <w:rPr>
          <w:rFonts w:ascii="Arial" w:hAnsi="Arial" w:cs="Arial"/>
          <w:b w:val="0"/>
          <w:i w:val="0"/>
          <w:szCs w:val="24"/>
        </w:rPr>
        <w:t>The principal objective of local authorities is to provide services to its families and households and we suggest that that the principal protection that should be afforded is to authorities who bear the greatest demand for services, not the protection of historic funding allocations.</w:t>
      </w:r>
    </w:p>
    <w:p w:rsidR="007541CC" w:rsidRPr="003906C3" w:rsidRDefault="007541CC" w:rsidP="007541CC">
      <w:pPr>
        <w:pStyle w:val="BodyText3"/>
        <w:ind w:left="792"/>
        <w:jc w:val="both"/>
        <w:rPr>
          <w:rFonts w:ascii="Arial" w:hAnsi="Arial" w:cs="Arial"/>
          <w:b w:val="0"/>
          <w:i w:val="0"/>
          <w:sz w:val="28"/>
          <w:szCs w:val="28"/>
        </w:rPr>
      </w:pPr>
    </w:p>
    <w:p w:rsidR="003B2E72" w:rsidRPr="003906C3" w:rsidRDefault="003B2E72" w:rsidP="003B2E72">
      <w:pPr>
        <w:pStyle w:val="BodyText3"/>
        <w:jc w:val="both"/>
        <w:rPr>
          <w:rFonts w:ascii="Arial" w:hAnsi="Arial" w:cs="Arial"/>
          <w:b w:val="0"/>
          <w:i w:val="0"/>
          <w:sz w:val="28"/>
          <w:szCs w:val="28"/>
        </w:rPr>
      </w:pPr>
    </w:p>
    <w:p w:rsidR="00466F63" w:rsidRPr="003906C3" w:rsidRDefault="00466F63" w:rsidP="00466F63">
      <w:pPr>
        <w:pStyle w:val="BodyText3"/>
        <w:ind w:left="502"/>
        <w:jc w:val="both"/>
        <w:rPr>
          <w:rFonts w:ascii="Arial" w:hAnsi="Arial" w:cs="Arial"/>
          <w:b w:val="0"/>
          <w:i w:val="0"/>
          <w:szCs w:val="24"/>
        </w:rPr>
      </w:pPr>
    </w:p>
    <w:p w:rsidR="00466F63" w:rsidRPr="003906C3" w:rsidRDefault="00466F63" w:rsidP="00466F63">
      <w:pPr>
        <w:pStyle w:val="BodyText3"/>
        <w:jc w:val="both"/>
        <w:rPr>
          <w:rFonts w:ascii="Arial" w:hAnsi="Arial" w:cs="Arial"/>
          <w:b w:val="0"/>
          <w:i w:val="0"/>
          <w:szCs w:val="24"/>
        </w:rPr>
      </w:pPr>
    </w:p>
    <w:p w:rsidR="000A63B2" w:rsidRPr="003906C3" w:rsidRDefault="000A63B2" w:rsidP="00EE6F7F">
      <w:pPr>
        <w:rPr>
          <w:rFonts w:ascii="Arial" w:hAnsi="Arial" w:cs="Arial"/>
          <w:sz w:val="24"/>
          <w:szCs w:val="24"/>
        </w:rPr>
      </w:pPr>
    </w:p>
    <w:sectPr w:rsidR="000A63B2" w:rsidRPr="003906C3" w:rsidSect="00EE6F7F">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B6" w:rsidRDefault="00E533B6" w:rsidP="00E533B6">
      <w:r>
        <w:separator/>
      </w:r>
    </w:p>
  </w:endnote>
  <w:endnote w:type="continuationSeparator" w:id="0">
    <w:p w:rsidR="00E533B6" w:rsidRDefault="00E533B6" w:rsidP="00E5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93666"/>
      <w:docPartObj>
        <w:docPartGallery w:val="Page Numbers (Bottom of Page)"/>
        <w:docPartUnique/>
      </w:docPartObj>
    </w:sdtPr>
    <w:sdtEndPr>
      <w:rPr>
        <w:color w:val="808080" w:themeColor="background1" w:themeShade="80"/>
        <w:spacing w:val="60"/>
      </w:rPr>
    </w:sdtEndPr>
    <w:sdtContent>
      <w:p w:rsidR="00DC1A9D" w:rsidRDefault="00DC1A9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91CBE" w:rsidRPr="00F91CBE">
          <w:rPr>
            <w:b/>
            <w:bCs/>
            <w:noProof/>
          </w:rPr>
          <w:t>4</w:t>
        </w:r>
        <w:r>
          <w:rPr>
            <w:b/>
            <w:bCs/>
            <w:noProof/>
          </w:rPr>
          <w:fldChar w:fldCharType="end"/>
        </w:r>
        <w:r>
          <w:rPr>
            <w:b/>
            <w:bCs/>
          </w:rPr>
          <w:t xml:space="preserve"> | </w:t>
        </w:r>
        <w:r>
          <w:rPr>
            <w:color w:val="808080" w:themeColor="background1" w:themeShade="80"/>
            <w:spacing w:val="60"/>
          </w:rPr>
          <w:t>Page</w:t>
        </w:r>
      </w:p>
    </w:sdtContent>
  </w:sdt>
  <w:p w:rsidR="00DC1A9D" w:rsidRDefault="00DC1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B6" w:rsidRDefault="00E533B6" w:rsidP="00E533B6">
      <w:r>
        <w:separator/>
      </w:r>
    </w:p>
  </w:footnote>
  <w:footnote w:type="continuationSeparator" w:id="0">
    <w:p w:rsidR="00E533B6" w:rsidRDefault="00E533B6" w:rsidP="00E533B6">
      <w:r>
        <w:continuationSeparator/>
      </w:r>
    </w:p>
  </w:footnote>
  <w:footnote w:id="1">
    <w:p w:rsidR="00A30B43" w:rsidRDefault="00A30B43">
      <w:pPr>
        <w:pStyle w:val="FootnoteText"/>
      </w:pPr>
      <w:r>
        <w:rPr>
          <w:rStyle w:val="FootnoteReference"/>
        </w:rPr>
        <w:footnoteRef/>
      </w:r>
      <w:r>
        <w:t xml:space="preserve"> Index of Multiple Deprivation 2015. Department for Communities and Local Government</w:t>
      </w:r>
      <w:r w:rsidR="0028003D">
        <w:t xml:space="preserve"> upper</w:t>
      </w:r>
      <w:r w:rsidR="008B77E1">
        <w:t xml:space="preserve"> tier local authority summaries-</w:t>
      </w:r>
      <w:r w:rsidR="008B77E1" w:rsidRPr="008B77E1">
        <w:t xml:space="preserve"> </w:t>
      </w:r>
      <w:r w:rsidR="008B77E1">
        <w:t>rank of average score</w:t>
      </w:r>
    </w:p>
  </w:footnote>
  <w:footnote w:id="2">
    <w:p w:rsidR="00A30B43" w:rsidRDefault="00A30B43">
      <w:pPr>
        <w:pStyle w:val="FootnoteText"/>
      </w:pPr>
      <w:r>
        <w:rPr>
          <w:rStyle w:val="FootnoteReference"/>
        </w:rPr>
        <w:footnoteRef/>
      </w:r>
      <w:r>
        <w:t xml:space="preserve"> Average of </w:t>
      </w:r>
      <w:r w:rsidR="0028003D">
        <w:t>IMD average scores</w:t>
      </w:r>
      <w:r w:rsidR="003073FD">
        <w:t>,</w:t>
      </w:r>
      <w:r w:rsidR="0028003D">
        <w:t xml:space="preserve"> where highest score = most deprived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B11" w:rsidRDefault="00D03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numPicBullet w:numPicBulletId="1">
    <w:pict>
      <v:shape id="_x0000_i1027" type="#_x0000_t75" style="width:9pt;height:9pt" o:bullet="t">
        <v:imagedata r:id="rId2" o:title="BD14754_"/>
      </v:shape>
    </w:pict>
  </w:numPicBullet>
  <w:numPicBullet w:numPicBulletId="2">
    <w:pict>
      <v:shape id="_x0000_i1028" type="#_x0000_t75" style="width:9pt;height:9pt" o:bullet="t">
        <v:imagedata r:id="rId3" o:title="BD15276_"/>
      </v:shape>
    </w:pict>
  </w:numPicBullet>
  <w:numPicBullet w:numPicBulletId="3">
    <w:pict>
      <v:shape id="_x0000_i1029" type="#_x0000_t75" style="width:9pt;height:9pt" o:bullet="t">
        <v:imagedata r:id="rId4" o:title="BD14756_"/>
      </v:shape>
    </w:pict>
  </w:numPicBullet>
  <w:numPicBullet w:numPicBulletId="4">
    <w:pict>
      <v:shape id="_x0000_i1030" type="#_x0000_t75" style="width:9pt;height:9pt" o:bullet="t">
        <v:imagedata r:id="rId5" o:title="BD14984_"/>
      </v:shape>
    </w:pict>
  </w:numPicBullet>
  <w:numPicBullet w:numPicBulletId="5">
    <w:pict>
      <v:shape id="_x0000_i1031" type="#_x0000_t75" style="width:11pt;height:11pt" o:bullet="t">
        <v:imagedata r:id="rId6" o:title="mso37E0"/>
      </v:shape>
    </w:pict>
  </w:numPicBullet>
  <w:abstractNum w:abstractNumId="0">
    <w:nsid w:val="0AAC19AF"/>
    <w:multiLevelType w:val="hybridMultilevel"/>
    <w:tmpl w:val="0C9E6066"/>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C950C4"/>
    <w:multiLevelType w:val="hybridMultilevel"/>
    <w:tmpl w:val="5920BA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83EA7"/>
    <w:multiLevelType w:val="hybridMultilevel"/>
    <w:tmpl w:val="9C48F08E"/>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974BD"/>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4192B76"/>
    <w:multiLevelType w:val="multilevel"/>
    <w:tmpl w:val="2A8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27520"/>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8727A23"/>
    <w:multiLevelType w:val="hybridMultilevel"/>
    <w:tmpl w:val="C3B6BE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68288F"/>
    <w:multiLevelType w:val="hybridMultilevel"/>
    <w:tmpl w:val="6E506612"/>
    <w:lvl w:ilvl="0" w:tplc="21B6970A">
      <w:start w:val="1"/>
      <w:numFmt w:val="bullet"/>
      <w:lvlText w:val=""/>
      <w:lvlPicBulletId w:val="1"/>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DB65E37"/>
    <w:multiLevelType w:val="hybridMultilevel"/>
    <w:tmpl w:val="7ACC5946"/>
    <w:lvl w:ilvl="0" w:tplc="67CA42B8">
      <w:start w:val="1"/>
      <w:numFmt w:val="bullet"/>
      <w:lvlText w:val=""/>
      <w:lvlPicBulletId w:val="4"/>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EE67240"/>
    <w:multiLevelType w:val="hybridMultilevel"/>
    <w:tmpl w:val="7DAEFCF0"/>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0F59AF"/>
    <w:multiLevelType w:val="multilevel"/>
    <w:tmpl w:val="D2B63B82"/>
    <w:lvl w:ilvl="0">
      <w:start w:val="1"/>
      <w:numFmt w:val="bullet"/>
      <w:lvlText w:val=""/>
      <w:lvlPicBulletId w:val="2"/>
      <w:lvlJc w:val="left"/>
      <w:pPr>
        <w:ind w:left="720" w:hanging="360"/>
      </w:pPr>
      <w:rPr>
        <w:rFonts w:ascii="Symbol" w:hAnsi="Symbol" w:hint="default"/>
        <w:color w:val="auto"/>
      </w:rPr>
    </w:lvl>
    <w:lvl w:ilvl="1">
      <w:start w:val="1"/>
      <w:numFmt w:val="bullet"/>
      <w:lvlText w:val=""/>
      <w:lvlPicBulletId w:val="2"/>
      <w:lvlJc w:val="left"/>
      <w:pPr>
        <w:ind w:left="1152" w:hanging="432"/>
      </w:pPr>
      <w:rPr>
        <w:rFonts w:ascii="Symbol" w:hAnsi="Symbol" w:hint="default"/>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3E53371E"/>
    <w:multiLevelType w:val="hybridMultilevel"/>
    <w:tmpl w:val="5B62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222A29"/>
    <w:multiLevelType w:val="multilevel"/>
    <w:tmpl w:val="2730C794"/>
    <w:lvl w:ilvl="0">
      <w:start w:val="1"/>
      <w:numFmt w:val="bullet"/>
      <w:lvlText w:val=""/>
      <w:lvlPicBulletId w:val="2"/>
      <w:lvlJc w:val="left"/>
      <w:pPr>
        <w:ind w:left="720" w:hanging="360"/>
      </w:pPr>
      <w:rPr>
        <w:rFonts w:ascii="Symbol" w:hAnsi="Symbol" w:hint="default"/>
        <w:color w:val="auto"/>
      </w:rPr>
    </w:lvl>
    <w:lvl w:ilvl="1">
      <w:start w:val="1"/>
      <w:numFmt w:val="bullet"/>
      <w:lvlText w:val=""/>
      <w:lvlPicBulletId w:val="2"/>
      <w:lvlJc w:val="left"/>
      <w:pPr>
        <w:ind w:left="1152" w:hanging="432"/>
      </w:pPr>
      <w:rPr>
        <w:rFonts w:ascii="Symbol" w:hAnsi="Symbol" w:hint="default"/>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41D41A3C"/>
    <w:multiLevelType w:val="multilevel"/>
    <w:tmpl w:val="08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1C6488"/>
    <w:multiLevelType w:val="hybridMultilevel"/>
    <w:tmpl w:val="26B693E0"/>
    <w:lvl w:ilvl="0" w:tplc="21B6970A">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0649A0"/>
    <w:multiLevelType w:val="hybridMultilevel"/>
    <w:tmpl w:val="9D94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53B31"/>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AC65D8A"/>
    <w:multiLevelType w:val="hybridMultilevel"/>
    <w:tmpl w:val="948E8A58"/>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A2A1F"/>
    <w:multiLevelType w:val="hybridMultilevel"/>
    <w:tmpl w:val="676CF240"/>
    <w:lvl w:ilvl="0" w:tplc="21B6970A">
      <w:start w:val="1"/>
      <w:numFmt w:val="bullet"/>
      <w:lvlText w:val=""/>
      <w:lvlPicBulletId w:val="1"/>
      <w:lvlJc w:val="left"/>
      <w:pPr>
        <w:ind w:left="720" w:hanging="360"/>
      </w:pPr>
      <w:rPr>
        <w:rFonts w:ascii="Symbol" w:hAnsi="Symbol" w:hint="default"/>
        <w:color w:val="auto"/>
      </w:rPr>
    </w:lvl>
    <w:lvl w:ilvl="1" w:tplc="21B6970A">
      <w:start w:val="1"/>
      <w:numFmt w:val="bullet"/>
      <w:lvlText w:val=""/>
      <w:lvlPicBulletId w:val="1"/>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960774"/>
    <w:multiLevelType w:val="hybridMultilevel"/>
    <w:tmpl w:val="4412D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A83C6F"/>
    <w:multiLevelType w:val="hybridMultilevel"/>
    <w:tmpl w:val="78920B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8E3016"/>
    <w:multiLevelType w:val="hybridMultilevel"/>
    <w:tmpl w:val="F56CEE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C0227C"/>
    <w:multiLevelType w:val="hybridMultilevel"/>
    <w:tmpl w:val="5AA6EE7A"/>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57215A"/>
    <w:multiLevelType w:val="hybridMultilevel"/>
    <w:tmpl w:val="63505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0F76F8"/>
    <w:multiLevelType w:val="hybridMultilevel"/>
    <w:tmpl w:val="D44A9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6C517C"/>
    <w:multiLevelType w:val="hybridMultilevel"/>
    <w:tmpl w:val="A9B4F5CE"/>
    <w:lvl w:ilvl="0" w:tplc="21B6970A">
      <w:start w:val="1"/>
      <w:numFmt w:val="bullet"/>
      <w:lvlText w:val=""/>
      <w:lvlPicBulletId w:val="1"/>
      <w:lvlJc w:val="left"/>
      <w:pPr>
        <w:ind w:left="720" w:hanging="360"/>
      </w:pPr>
      <w:rPr>
        <w:rFonts w:ascii="Symbol" w:hAnsi="Symbol" w:hint="default"/>
        <w:color w:val="auto"/>
      </w:rPr>
    </w:lvl>
    <w:lvl w:ilvl="1" w:tplc="054EED4C">
      <w:start w:val="1"/>
      <w:numFmt w:val="bullet"/>
      <w:lvlText w:val=""/>
      <w:lvlPicBulletId w:val="2"/>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8046CD"/>
    <w:multiLevelType w:val="hybridMultilevel"/>
    <w:tmpl w:val="B39E4BB8"/>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774FAC"/>
    <w:multiLevelType w:val="hybridMultilevel"/>
    <w:tmpl w:val="6FA0E230"/>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B74D39"/>
    <w:multiLevelType w:val="hybridMultilevel"/>
    <w:tmpl w:val="831C3AB0"/>
    <w:lvl w:ilvl="0" w:tplc="097A0E88">
      <w:start w:val="1"/>
      <w:numFmt w:val="bullet"/>
      <w:lvlText w:val=""/>
      <w:lvlPicBulletId w:val="3"/>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6E3907"/>
    <w:multiLevelType w:val="hybridMultilevel"/>
    <w:tmpl w:val="111A922C"/>
    <w:lvl w:ilvl="0" w:tplc="097A0E88">
      <w:start w:val="1"/>
      <w:numFmt w:val="bullet"/>
      <w:lvlText w:val=""/>
      <w:lvlPicBulletId w:val="3"/>
      <w:lvlJc w:val="left"/>
      <w:pPr>
        <w:ind w:left="1080" w:hanging="360"/>
      </w:pPr>
      <w:rPr>
        <w:rFonts w:ascii="Symbol" w:hAnsi="Symbol" w:hint="default"/>
        <w:color w:val="auto"/>
      </w:rPr>
    </w:lvl>
    <w:lvl w:ilvl="1" w:tplc="054EED4C">
      <w:start w:val="1"/>
      <w:numFmt w:val="bullet"/>
      <w:lvlText w:val=""/>
      <w:lvlPicBulletId w:val="2"/>
      <w:lvlJc w:val="left"/>
      <w:pPr>
        <w:ind w:left="1800" w:hanging="360"/>
      </w:pPr>
      <w:rPr>
        <w:rFonts w:ascii="Symbol" w:hAnsi="Symbol" w:hint="default"/>
        <w:color w:val="auto"/>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F293C6A"/>
    <w:multiLevelType w:val="hybridMultilevel"/>
    <w:tmpl w:val="C8B8E352"/>
    <w:lvl w:ilvl="0" w:tplc="F1D29EA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432462"/>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nsid w:val="6FE04464"/>
    <w:multiLevelType w:val="hybridMultilevel"/>
    <w:tmpl w:val="E2C0A250"/>
    <w:lvl w:ilvl="0" w:tplc="054EED4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E69FE"/>
    <w:multiLevelType w:val="hybridMultilevel"/>
    <w:tmpl w:val="15C471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2546D7"/>
    <w:multiLevelType w:val="hybridMultilevel"/>
    <w:tmpl w:val="E4BC8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1A6C34"/>
    <w:multiLevelType w:val="hybridMultilevel"/>
    <w:tmpl w:val="97A4FB96"/>
    <w:lvl w:ilvl="0" w:tplc="054EED4C">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0A424D"/>
    <w:multiLevelType w:val="hybridMultilevel"/>
    <w:tmpl w:val="83945988"/>
    <w:lvl w:ilvl="0" w:tplc="08090007">
      <w:start w:val="1"/>
      <w:numFmt w:val="bullet"/>
      <w:lvlText w:val=""/>
      <w:lvlPicBulletId w:val="5"/>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082EA2"/>
    <w:multiLevelType w:val="multilevel"/>
    <w:tmpl w:val="5BAC2BB0"/>
    <w:lvl w:ilvl="0">
      <w:start w:val="1"/>
      <w:numFmt w:val="bullet"/>
      <w:lvlText w:val=""/>
      <w:lvlPicBulletId w:val="2"/>
      <w:lvlJc w:val="left"/>
      <w:pPr>
        <w:ind w:left="720" w:hanging="360"/>
      </w:pPr>
      <w:rPr>
        <w:rFonts w:ascii="Symbol" w:hAnsi="Symbol" w:hint="default"/>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775D025E"/>
    <w:multiLevelType w:val="hybridMultilevel"/>
    <w:tmpl w:val="E0420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544B46"/>
    <w:multiLevelType w:val="hybridMultilevel"/>
    <w:tmpl w:val="0C22B0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3"/>
  </w:num>
  <w:num w:numId="4">
    <w:abstractNumId w:val="30"/>
  </w:num>
  <w:num w:numId="5">
    <w:abstractNumId w:val="14"/>
  </w:num>
  <w:num w:numId="6">
    <w:abstractNumId w:val="25"/>
  </w:num>
  <w:num w:numId="7">
    <w:abstractNumId w:val="0"/>
  </w:num>
  <w:num w:numId="8">
    <w:abstractNumId w:val="18"/>
  </w:num>
  <w:num w:numId="9">
    <w:abstractNumId w:val="11"/>
  </w:num>
  <w:num w:numId="10">
    <w:abstractNumId w:val="22"/>
  </w:num>
  <w:num w:numId="11">
    <w:abstractNumId w:val="26"/>
  </w:num>
  <w:num w:numId="12">
    <w:abstractNumId w:val="7"/>
  </w:num>
  <w:num w:numId="13">
    <w:abstractNumId w:val="29"/>
  </w:num>
  <w:num w:numId="14">
    <w:abstractNumId w:val="8"/>
  </w:num>
  <w:num w:numId="15">
    <w:abstractNumId w:val="9"/>
  </w:num>
  <w:num w:numId="16">
    <w:abstractNumId w:val="32"/>
  </w:num>
  <w:num w:numId="17">
    <w:abstractNumId w:val="13"/>
  </w:num>
  <w:num w:numId="18">
    <w:abstractNumId w:val="5"/>
  </w:num>
  <w:num w:numId="19">
    <w:abstractNumId w:val="31"/>
  </w:num>
  <w:num w:numId="20">
    <w:abstractNumId w:val="16"/>
  </w:num>
  <w:num w:numId="21">
    <w:abstractNumId w:val="37"/>
  </w:num>
  <w:num w:numId="22">
    <w:abstractNumId w:val="3"/>
  </w:num>
  <w:num w:numId="23">
    <w:abstractNumId w:val="27"/>
  </w:num>
  <w:num w:numId="24">
    <w:abstractNumId w:val="10"/>
  </w:num>
  <w:num w:numId="25">
    <w:abstractNumId w:val="12"/>
  </w:num>
  <w:num w:numId="26">
    <w:abstractNumId w:val="35"/>
  </w:num>
  <w:num w:numId="27">
    <w:abstractNumId w:val="2"/>
  </w:num>
  <w:num w:numId="28">
    <w:abstractNumId w:val="17"/>
  </w:num>
  <w:num w:numId="29">
    <w:abstractNumId w:val="34"/>
  </w:num>
  <w:num w:numId="30">
    <w:abstractNumId w:val="39"/>
  </w:num>
  <w:num w:numId="31">
    <w:abstractNumId w:val="21"/>
  </w:num>
  <w:num w:numId="32">
    <w:abstractNumId w:val="24"/>
  </w:num>
  <w:num w:numId="33">
    <w:abstractNumId w:val="19"/>
  </w:num>
  <w:num w:numId="34">
    <w:abstractNumId w:val="38"/>
  </w:num>
  <w:num w:numId="35">
    <w:abstractNumId w:val="20"/>
  </w:num>
  <w:num w:numId="36">
    <w:abstractNumId w:val="6"/>
  </w:num>
  <w:num w:numId="37">
    <w:abstractNumId w:val="28"/>
  </w:num>
  <w:num w:numId="38">
    <w:abstractNumId w:val="1"/>
  </w:num>
  <w:num w:numId="39">
    <w:abstractNumId w:val="36"/>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80"/>
    <w:rsid w:val="0002265F"/>
    <w:rsid w:val="00025029"/>
    <w:rsid w:val="00027B3C"/>
    <w:rsid w:val="000335B2"/>
    <w:rsid w:val="00035EDD"/>
    <w:rsid w:val="00075C79"/>
    <w:rsid w:val="000867A7"/>
    <w:rsid w:val="00094968"/>
    <w:rsid w:val="000A63B2"/>
    <w:rsid w:val="000B366B"/>
    <w:rsid w:val="000B50CB"/>
    <w:rsid w:val="000D086F"/>
    <w:rsid w:val="000F31A5"/>
    <w:rsid w:val="00122DA6"/>
    <w:rsid w:val="00130022"/>
    <w:rsid w:val="001546AD"/>
    <w:rsid w:val="001836D3"/>
    <w:rsid w:val="00185048"/>
    <w:rsid w:val="002012F2"/>
    <w:rsid w:val="00241421"/>
    <w:rsid w:val="00264891"/>
    <w:rsid w:val="00277501"/>
    <w:rsid w:val="0028003D"/>
    <w:rsid w:val="00295AF2"/>
    <w:rsid w:val="00296496"/>
    <w:rsid w:val="002B76F7"/>
    <w:rsid w:val="002C7CE0"/>
    <w:rsid w:val="003065FE"/>
    <w:rsid w:val="003073FD"/>
    <w:rsid w:val="003168BC"/>
    <w:rsid w:val="003906C3"/>
    <w:rsid w:val="003B2E72"/>
    <w:rsid w:val="003B51AF"/>
    <w:rsid w:val="003E1842"/>
    <w:rsid w:val="003E58FB"/>
    <w:rsid w:val="00404D0B"/>
    <w:rsid w:val="00444CF2"/>
    <w:rsid w:val="004636CA"/>
    <w:rsid w:val="00466F63"/>
    <w:rsid w:val="00484B8F"/>
    <w:rsid w:val="004C1F15"/>
    <w:rsid w:val="00512224"/>
    <w:rsid w:val="00516BB0"/>
    <w:rsid w:val="00561597"/>
    <w:rsid w:val="005A4482"/>
    <w:rsid w:val="005F3CCF"/>
    <w:rsid w:val="0061615C"/>
    <w:rsid w:val="0062166B"/>
    <w:rsid w:val="006437D1"/>
    <w:rsid w:val="0065452A"/>
    <w:rsid w:val="00657222"/>
    <w:rsid w:val="006775F4"/>
    <w:rsid w:val="006807B4"/>
    <w:rsid w:val="00687500"/>
    <w:rsid w:val="00690AB2"/>
    <w:rsid w:val="00694D7D"/>
    <w:rsid w:val="006A69A1"/>
    <w:rsid w:val="006B0BA6"/>
    <w:rsid w:val="006C0B6D"/>
    <w:rsid w:val="006C3071"/>
    <w:rsid w:val="007042A7"/>
    <w:rsid w:val="00744FC5"/>
    <w:rsid w:val="007541CC"/>
    <w:rsid w:val="007725D9"/>
    <w:rsid w:val="007B32D2"/>
    <w:rsid w:val="007C6A7E"/>
    <w:rsid w:val="007D5EE4"/>
    <w:rsid w:val="007F0156"/>
    <w:rsid w:val="00816358"/>
    <w:rsid w:val="008271CF"/>
    <w:rsid w:val="0084793F"/>
    <w:rsid w:val="008602C3"/>
    <w:rsid w:val="008A4CF5"/>
    <w:rsid w:val="008B261E"/>
    <w:rsid w:val="008B77E1"/>
    <w:rsid w:val="008B7C19"/>
    <w:rsid w:val="008E5FAF"/>
    <w:rsid w:val="00917ADC"/>
    <w:rsid w:val="009347E6"/>
    <w:rsid w:val="009819EC"/>
    <w:rsid w:val="009A7667"/>
    <w:rsid w:val="009C2D18"/>
    <w:rsid w:val="00A30B43"/>
    <w:rsid w:val="00A411A1"/>
    <w:rsid w:val="00A41B0C"/>
    <w:rsid w:val="00A620B7"/>
    <w:rsid w:val="00AD213E"/>
    <w:rsid w:val="00AD44D9"/>
    <w:rsid w:val="00AE0CC1"/>
    <w:rsid w:val="00AF01FE"/>
    <w:rsid w:val="00B1344A"/>
    <w:rsid w:val="00B337DA"/>
    <w:rsid w:val="00BF0451"/>
    <w:rsid w:val="00C12AFC"/>
    <w:rsid w:val="00C33680"/>
    <w:rsid w:val="00C560F7"/>
    <w:rsid w:val="00C604D5"/>
    <w:rsid w:val="00C84096"/>
    <w:rsid w:val="00C90912"/>
    <w:rsid w:val="00CB1EBC"/>
    <w:rsid w:val="00CB5C90"/>
    <w:rsid w:val="00CF4F33"/>
    <w:rsid w:val="00D03B11"/>
    <w:rsid w:val="00D47B6C"/>
    <w:rsid w:val="00D50FCB"/>
    <w:rsid w:val="00D56085"/>
    <w:rsid w:val="00D73187"/>
    <w:rsid w:val="00D76850"/>
    <w:rsid w:val="00D829BA"/>
    <w:rsid w:val="00DC1A9D"/>
    <w:rsid w:val="00DC3024"/>
    <w:rsid w:val="00DD3303"/>
    <w:rsid w:val="00E15AAD"/>
    <w:rsid w:val="00E216C1"/>
    <w:rsid w:val="00E23AFD"/>
    <w:rsid w:val="00E350AD"/>
    <w:rsid w:val="00E533B6"/>
    <w:rsid w:val="00E60328"/>
    <w:rsid w:val="00E63A62"/>
    <w:rsid w:val="00E6401B"/>
    <w:rsid w:val="00E72BE8"/>
    <w:rsid w:val="00EC0577"/>
    <w:rsid w:val="00EE6F7F"/>
    <w:rsid w:val="00EF6A9C"/>
    <w:rsid w:val="00F00686"/>
    <w:rsid w:val="00F32F3F"/>
    <w:rsid w:val="00F77F99"/>
    <w:rsid w:val="00F91CBE"/>
    <w:rsid w:val="00FB7EFB"/>
    <w:rsid w:val="00FE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68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C560F7"/>
    <w:rPr>
      <w:color w:val="0000FF"/>
      <w:u w:val="single"/>
    </w:rPr>
  </w:style>
  <w:style w:type="paragraph" w:styleId="BodyText3">
    <w:name w:val="Body Text 3"/>
    <w:basedOn w:val="Normal"/>
    <w:link w:val="BodyText3Char"/>
    <w:rsid w:val="00C560F7"/>
    <w:pPr>
      <w:overflowPunct w:val="0"/>
      <w:autoSpaceDE w:val="0"/>
      <w:autoSpaceDN w:val="0"/>
      <w:adjustRightInd w:val="0"/>
      <w:textAlignment w:val="baseline"/>
    </w:pPr>
    <w:rPr>
      <w:rFonts w:ascii="Times New Roman" w:eastAsia="Times New Roman" w:hAnsi="Times New Roman" w:cs="Times New Roman"/>
      <w:b/>
      <w:i/>
      <w:sz w:val="24"/>
      <w:szCs w:val="20"/>
      <w:lang w:val="en-US"/>
    </w:rPr>
  </w:style>
  <w:style w:type="character" w:customStyle="1" w:styleId="BodyText3Char">
    <w:name w:val="Body Text 3 Char"/>
    <w:basedOn w:val="DefaultParagraphFont"/>
    <w:link w:val="BodyText3"/>
    <w:rsid w:val="00C560F7"/>
    <w:rPr>
      <w:rFonts w:ascii="Times New Roman" w:eastAsia="Times New Roman" w:hAnsi="Times New Roman" w:cs="Times New Roman"/>
      <w:b/>
      <w:i/>
      <w:sz w:val="24"/>
      <w:szCs w:val="20"/>
      <w:lang w:val="en-US"/>
    </w:rPr>
  </w:style>
  <w:style w:type="paragraph" w:styleId="FootnoteText">
    <w:name w:val="footnote text"/>
    <w:basedOn w:val="Normal"/>
    <w:link w:val="FootnoteTextChar"/>
    <w:uiPriority w:val="99"/>
    <w:semiHidden/>
    <w:unhideWhenUsed/>
    <w:rsid w:val="00E533B6"/>
    <w:rPr>
      <w:sz w:val="20"/>
      <w:szCs w:val="20"/>
    </w:rPr>
  </w:style>
  <w:style w:type="character" w:customStyle="1" w:styleId="FootnoteTextChar">
    <w:name w:val="Footnote Text Char"/>
    <w:basedOn w:val="DefaultParagraphFont"/>
    <w:link w:val="FootnoteText"/>
    <w:uiPriority w:val="99"/>
    <w:semiHidden/>
    <w:rsid w:val="00E533B6"/>
    <w:rPr>
      <w:sz w:val="20"/>
      <w:szCs w:val="20"/>
    </w:rPr>
  </w:style>
  <w:style w:type="character" w:styleId="FootnoteReference">
    <w:name w:val="footnote reference"/>
    <w:basedOn w:val="DefaultParagraphFont"/>
    <w:uiPriority w:val="99"/>
    <w:semiHidden/>
    <w:unhideWhenUsed/>
    <w:rsid w:val="00E533B6"/>
    <w:rPr>
      <w:vertAlign w:val="superscript"/>
    </w:rPr>
  </w:style>
  <w:style w:type="paragraph" w:styleId="BalloonText">
    <w:name w:val="Balloon Text"/>
    <w:basedOn w:val="Normal"/>
    <w:link w:val="BalloonTextChar"/>
    <w:uiPriority w:val="99"/>
    <w:semiHidden/>
    <w:unhideWhenUsed/>
    <w:rsid w:val="00CB5C90"/>
    <w:rPr>
      <w:rFonts w:ascii="Tahoma" w:hAnsi="Tahoma" w:cs="Tahoma"/>
      <w:sz w:val="16"/>
      <w:szCs w:val="16"/>
    </w:rPr>
  </w:style>
  <w:style w:type="character" w:customStyle="1" w:styleId="BalloonTextChar">
    <w:name w:val="Balloon Text Char"/>
    <w:basedOn w:val="DefaultParagraphFont"/>
    <w:link w:val="BalloonText"/>
    <w:uiPriority w:val="99"/>
    <w:semiHidden/>
    <w:rsid w:val="00CB5C90"/>
    <w:rPr>
      <w:rFonts w:ascii="Tahoma" w:hAnsi="Tahoma" w:cs="Tahoma"/>
      <w:sz w:val="16"/>
      <w:szCs w:val="16"/>
    </w:rPr>
  </w:style>
  <w:style w:type="paragraph" w:styleId="ListParagraph">
    <w:name w:val="List Paragraph"/>
    <w:basedOn w:val="Normal"/>
    <w:uiPriority w:val="34"/>
    <w:qFormat/>
    <w:rsid w:val="00694D7D"/>
    <w:pPr>
      <w:ind w:left="720"/>
      <w:contextualSpacing/>
    </w:pPr>
  </w:style>
  <w:style w:type="paragraph" w:styleId="Header">
    <w:name w:val="header"/>
    <w:basedOn w:val="Normal"/>
    <w:link w:val="HeaderChar"/>
    <w:uiPriority w:val="99"/>
    <w:unhideWhenUsed/>
    <w:rsid w:val="00DC1A9D"/>
    <w:pPr>
      <w:tabs>
        <w:tab w:val="center" w:pos="4513"/>
        <w:tab w:val="right" w:pos="9026"/>
      </w:tabs>
    </w:pPr>
  </w:style>
  <w:style w:type="character" w:customStyle="1" w:styleId="HeaderChar">
    <w:name w:val="Header Char"/>
    <w:basedOn w:val="DefaultParagraphFont"/>
    <w:link w:val="Header"/>
    <w:uiPriority w:val="99"/>
    <w:rsid w:val="00DC1A9D"/>
  </w:style>
  <w:style w:type="paragraph" w:styleId="Footer">
    <w:name w:val="footer"/>
    <w:basedOn w:val="Normal"/>
    <w:link w:val="FooterChar"/>
    <w:uiPriority w:val="99"/>
    <w:unhideWhenUsed/>
    <w:rsid w:val="00DC1A9D"/>
    <w:pPr>
      <w:tabs>
        <w:tab w:val="center" w:pos="4513"/>
        <w:tab w:val="right" w:pos="9026"/>
      </w:tabs>
    </w:pPr>
  </w:style>
  <w:style w:type="character" w:customStyle="1" w:styleId="FooterChar">
    <w:name w:val="Footer Char"/>
    <w:basedOn w:val="DefaultParagraphFont"/>
    <w:link w:val="Footer"/>
    <w:uiPriority w:val="99"/>
    <w:rsid w:val="00DC1A9D"/>
  </w:style>
  <w:style w:type="character" w:styleId="LineNumber">
    <w:name w:val="line number"/>
    <w:basedOn w:val="DefaultParagraphFont"/>
    <w:uiPriority w:val="99"/>
    <w:semiHidden/>
    <w:unhideWhenUsed/>
    <w:rsid w:val="00EE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68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C560F7"/>
    <w:rPr>
      <w:color w:val="0000FF"/>
      <w:u w:val="single"/>
    </w:rPr>
  </w:style>
  <w:style w:type="paragraph" w:styleId="BodyText3">
    <w:name w:val="Body Text 3"/>
    <w:basedOn w:val="Normal"/>
    <w:link w:val="BodyText3Char"/>
    <w:rsid w:val="00C560F7"/>
    <w:pPr>
      <w:overflowPunct w:val="0"/>
      <w:autoSpaceDE w:val="0"/>
      <w:autoSpaceDN w:val="0"/>
      <w:adjustRightInd w:val="0"/>
      <w:textAlignment w:val="baseline"/>
    </w:pPr>
    <w:rPr>
      <w:rFonts w:ascii="Times New Roman" w:eastAsia="Times New Roman" w:hAnsi="Times New Roman" w:cs="Times New Roman"/>
      <w:b/>
      <w:i/>
      <w:sz w:val="24"/>
      <w:szCs w:val="20"/>
      <w:lang w:val="en-US"/>
    </w:rPr>
  </w:style>
  <w:style w:type="character" w:customStyle="1" w:styleId="BodyText3Char">
    <w:name w:val="Body Text 3 Char"/>
    <w:basedOn w:val="DefaultParagraphFont"/>
    <w:link w:val="BodyText3"/>
    <w:rsid w:val="00C560F7"/>
    <w:rPr>
      <w:rFonts w:ascii="Times New Roman" w:eastAsia="Times New Roman" w:hAnsi="Times New Roman" w:cs="Times New Roman"/>
      <w:b/>
      <w:i/>
      <w:sz w:val="24"/>
      <w:szCs w:val="20"/>
      <w:lang w:val="en-US"/>
    </w:rPr>
  </w:style>
  <w:style w:type="paragraph" w:styleId="FootnoteText">
    <w:name w:val="footnote text"/>
    <w:basedOn w:val="Normal"/>
    <w:link w:val="FootnoteTextChar"/>
    <w:uiPriority w:val="99"/>
    <w:semiHidden/>
    <w:unhideWhenUsed/>
    <w:rsid w:val="00E533B6"/>
    <w:rPr>
      <w:sz w:val="20"/>
      <w:szCs w:val="20"/>
    </w:rPr>
  </w:style>
  <w:style w:type="character" w:customStyle="1" w:styleId="FootnoteTextChar">
    <w:name w:val="Footnote Text Char"/>
    <w:basedOn w:val="DefaultParagraphFont"/>
    <w:link w:val="FootnoteText"/>
    <w:uiPriority w:val="99"/>
    <w:semiHidden/>
    <w:rsid w:val="00E533B6"/>
    <w:rPr>
      <w:sz w:val="20"/>
      <w:szCs w:val="20"/>
    </w:rPr>
  </w:style>
  <w:style w:type="character" w:styleId="FootnoteReference">
    <w:name w:val="footnote reference"/>
    <w:basedOn w:val="DefaultParagraphFont"/>
    <w:uiPriority w:val="99"/>
    <w:semiHidden/>
    <w:unhideWhenUsed/>
    <w:rsid w:val="00E533B6"/>
    <w:rPr>
      <w:vertAlign w:val="superscript"/>
    </w:rPr>
  </w:style>
  <w:style w:type="paragraph" w:styleId="BalloonText">
    <w:name w:val="Balloon Text"/>
    <w:basedOn w:val="Normal"/>
    <w:link w:val="BalloonTextChar"/>
    <w:uiPriority w:val="99"/>
    <w:semiHidden/>
    <w:unhideWhenUsed/>
    <w:rsid w:val="00CB5C90"/>
    <w:rPr>
      <w:rFonts w:ascii="Tahoma" w:hAnsi="Tahoma" w:cs="Tahoma"/>
      <w:sz w:val="16"/>
      <w:szCs w:val="16"/>
    </w:rPr>
  </w:style>
  <w:style w:type="character" w:customStyle="1" w:styleId="BalloonTextChar">
    <w:name w:val="Balloon Text Char"/>
    <w:basedOn w:val="DefaultParagraphFont"/>
    <w:link w:val="BalloonText"/>
    <w:uiPriority w:val="99"/>
    <w:semiHidden/>
    <w:rsid w:val="00CB5C90"/>
    <w:rPr>
      <w:rFonts w:ascii="Tahoma" w:hAnsi="Tahoma" w:cs="Tahoma"/>
      <w:sz w:val="16"/>
      <w:szCs w:val="16"/>
    </w:rPr>
  </w:style>
  <w:style w:type="paragraph" w:styleId="ListParagraph">
    <w:name w:val="List Paragraph"/>
    <w:basedOn w:val="Normal"/>
    <w:uiPriority w:val="34"/>
    <w:qFormat/>
    <w:rsid w:val="00694D7D"/>
    <w:pPr>
      <w:ind w:left="720"/>
      <w:contextualSpacing/>
    </w:pPr>
  </w:style>
  <w:style w:type="paragraph" w:styleId="Header">
    <w:name w:val="header"/>
    <w:basedOn w:val="Normal"/>
    <w:link w:val="HeaderChar"/>
    <w:uiPriority w:val="99"/>
    <w:unhideWhenUsed/>
    <w:rsid w:val="00DC1A9D"/>
    <w:pPr>
      <w:tabs>
        <w:tab w:val="center" w:pos="4513"/>
        <w:tab w:val="right" w:pos="9026"/>
      </w:tabs>
    </w:pPr>
  </w:style>
  <w:style w:type="character" w:customStyle="1" w:styleId="HeaderChar">
    <w:name w:val="Header Char"/>
    <w:basedOn w:val="DefaultParagraphFont"/>
    <w:link w:val="Header"/>
    <w:uiPriority w:val="99"/>
    <w:rsid w:val="00DC1A9D"/>
  </w:style>
  <w:style w:type="paragraph" w:styleId="Footer">
    <w:name w:val="footer"/>
    <w:basedOn w:val="Normal"/>
    <w:link w:val="FooterChar"/>
    <w:uiPriority w:val="99"/>
    <w:unhideWhenUsed/>
    <w:rsid w:val="00DC1A9D"/>
    <w:pPr>
      <w:tabs>
        <w:tab w:val="center" w:pos="4513"/>
        <w:tab w:val="right" w:pos="9026"/>
      </w:tabs>
    </w:pPr>
  </w:style>
  <w:style w:type="character" w:customStyle="1" w:styleId="FooterChar">
    <w:name w:val="Footer Char"/>
    <w:basedOn w:val="DefaultParagraphFont"/>
    <w:link w:val="Footer"/>
    <w:uiPriority w:val="99"/>
    <w:rsid w:val="00DC1A9D"/>
  </w:style>
  <w:style w:type="character" w:styleId="LineNumber">
    <w:name w:val="line number"/>
    <w:basedOn w:val="DefaultParagraphFont"/>
    <w:uiPriority w:val="99"/>
    <w:semiHidden/>
    <w:unhideWhenUsed/>
    <w:rsid w:val="00EE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087">
      <w:bodyDiv w:val="1"/>
      <w:marLeft w:val="0"/>
      <w:marRight w:val="0"/>
      <w:marTop w:val="0"/>
      <w:marBottom w:val="0"/>
      <w:divBdr>
        <w:top w:val="none" w:sz="0" w:space="0" w:color="auto"/>
        <w:left w:val="none" w:sz="0" w:space="0" w:color="auto"/>
        <w:bottom w:val="none" w:sz="0" w:space="0" w:color="auto"/>
        <w:right w:val="none" w:sz="0" w:space="0" w:color="auto"/>
      </w:divBdr>
    </w:div>
    <w:div w:id="1297954970">
      <w:bodyDiv w:val="1"/>
      <w:marLeft w:val="0"/>
      <w:marRight w:val="0"/>
      <w:marTop w:val="0"/>
      <w:marBottom w:val="0"/>
      <w:divBdr>
        <w:top w:val="none" w:sz="0" w:space="0" w:color="auto"/>
        <w:left w:val="none" w:sz="0" w:space="0" w:color="auto"/>
        <w:bottom w:val="none" w:sz="0" w:space="0" w:color="auto"/>
        <w:right w:val="none" w:sz="0" w:space="0" w:color="auto"/>
      </w:divBdr>
      <w:divsChild>
        <w:div w:id="860820523">
          <w:marLeft w:val="0"/>
          <w:marRight w:val="0"/>
          <w:marTop w:val="0"/>
          <w:marBottom w:val="0"/>
          <w:divBdr>
            <w:top w:val="none" w:sz="0" w:space="0" w:color="auto"/>
            <w:left w:val="none" w:sz="0" w:space="0" w:color="auto"/>
            <w:bottom w:val="none" w:sz="0" w:space="0" w:color="auto"/>
            <w:right w:val="none" w:sz="0" w:space="0" w:color="auto"/>
          </w:divBdr>
          <w:divsChild>
            <w:div w:id="47919122">
              <w:marLeft w:val="0"/>
              <w:marRight w:val="0"/>
              <w:marTop w:val="0"/>
              <w:marBottom w:val="0"/>
              <w:divBdr>
                <w:top w:val="none" w:sz="0" w:space="0" w:color="auto"/>
                <w:left w:val="none" w:sz="0" w:space="0" w:color="auto"/>
                <w:bottom w:val="none" w:sz="0" w:space="0" w:color="auto"/>
                <w:right w:val="none" w:sz="0" w:space="0" w:color="auto"/>
              </w:divBdr>
              <w:divsChild>
                <w:div w:id="1129280313">
                  <w:marLeft w:val="0"/>
                  <w:marRight w:val="0"/>
                  <w:marTop w:val="0"/>
                  <w:marBottom w:val="0"/>
                  <w:divBdr>
                    <w:top w:val="none" w:sz="0" w:space="0" w:color="auto"/>
                    <w:left w:val="none" w:sz="0" w:space="0" w:color="auto"/>
                    <w:bottom w:val="none" w:sz="0" w:space="0" w:color="auto"/>
                    <w:right w:val="none" w:sz="0" w:space="0" w:color="auto"/>
                  </w:divBdr>
                  <w:divsChild>
                    <w:div w:id="2111966347">
                      <w:marLeft w:val="0"/>
                      <w:marRight w:val="0"/>
                      <w:marTop w:val="0"/>
                      <w:marBottom w:val="0"/>
                      <w:divBdr>
                        <w:top w:val="none" w:sz="0" w:space="0" w:color="auto"/>
                        <w:left w:val="none" w:sz="0" w:space="0" w:color="auto"/>
                        <w:bottom w:val="none" w:sz="0" w:space="0" w:color="auto"/>
                        <w:right w:val="none" w:sz="0" w:space="0" w:color="auto"/>
                      </w:divBdr>
                      <w:divsChild>
                        <w:div w:id="1769154276">
                          <w:marLeft w:val="0"/>
                          <w:marRight w:val="0"/>
                          <w:marTop w:val="0"/>
                          <w:marBottom w:val="0"/>
                          <w:divBdr>
                            <w:top w:val="none" w:sz="0" w:space="0" w:color="auto"/>
                            <w:left w:val="none" w:sz="0" w:space="0" w:color="auto"/>
                            <w:bottom w:val="none" w:sz="0" w:space="0" w:color="auto"/>
                            <w:right w:val="none" w:sz="0" w:space="0" w:color="auto"/>
                          </w:divBdr>
                          <w:divsChild>
                            <w:div w:id="2397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7.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oleObject" Target="file:///\\bmbcdata5\BTDATA\Sigoma\NewHomesBonus\NHB%20consultation%202016\NHBconsultationData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Sheet1!$E$2</c:f>
              <c:strCache>
                <c:ptCount val="1"/>
                <c:pt idx="0">
                  <c:v>no1</c:v>
                </c:pt>
              </c:strCache>
            </c:strRef>
          </c:tx>
          <c:invertIfNegative val="0"/>
          <c:cat>
            <c:strRef>
              <c:f>Sheet1!$C$3:$C$328</c:f>
              <c:strCache>
                <c:ptCount val="326"/>
                <c:pt idx="0">
                  <c:v>Blackpool</c:v>
                </c:pt>
                <c:pt idx="1">
                  <c:v>Broxtowe</c:v>
                </c:pt>
                <c:pt idx="2">
                  <c:v>Barrow-in-Furness</c:v>
                </c:pt>
                <c:pt idx="3">
                  <c:v>Wirral</c:v>
                </c:pt>
                <c:pt idx="4">
                  <c:v>Tamworth</c:v>
                </c:pt>
                <c:pt idx="5">
                  <c:v>Sefton</c:v>
                </c:pt>
                <c:pt idx="6">
                  <c:v>Kensington and Chelsea</c:v>
                </c:pt>
                <c:pt idx="7">
                  <c:v>Enfield</c:v>
                </c:pt>
                <c:pt idx="8">
                  <c:v>Adur</c:v>
                </c:pt>
                <c:pt idx="9">
                  <c:v>Harrogate</c:v>
                </c:pt>
                <c:pt idx="10">
                  <c:v>South Lakeland</c:v>
                </c:pt>
                <c:pt idx="11">
                  <c:v>Isles of Scilly</c:v>
                </c:pt>
                <c:pt idx="12">
                  <c:v>High Peak</c:v>
                </c:pt>
                <c:pt idx="13">
                  <c:v>Redbridge</c:v>
                </c:pt>
                <c:pt idx="14">
                  <c:v>Mole Valley</c:v>
                </c:pt>
                <c:pt idx="15">
                  <c:v>Tunbridge Wells</c:v>
                </c:pt>
                <c:pt idx="16">
                  <c:v>Derbyshire Dales</c:v>
                </c:pt>
                <c:pt idx="17">
                  <c:v>Gosport</c:v>
                </c:pt>
                <c:pt idx="18">
                  <c:v>Oadby and Wigston</c:v>
                </c:pt>
                <c:pt idx="19">
                  <c:v>Chiltern</c:v>
                </c:pt>
                <c:pt idx="20">
                  <c:v>Scarborough</c:v>
                </c:pt>
                <c:pt idx="21">
                  <c:v>Eastbourne</c:v>
                </c:pt>
                <c:pt idx="22">
                  <c:v>Maldon</c:v>
                </c:pt>
                <c:pt idx="23">
                  <c:v>Portsmouth</c:v>
                </c:pt>
                <c:pt idx="24">
                  <c:v>Trafford</c:v>
                </c:pt>
                <c:pt idx="25">
                  <c:v>Stockport</c:v>
                </c:pt>
                <c:pt idx="26">
                  <c:v>Chesterfield</c:v>
                </c:pt>
                <c:pt idx="27">
                  <c:v>Southend-on-Sea</c:v>
                </c:pt>
                <c:pt idx="28">
                  <c:v>New Forest</c:v>
                </c:pt>
                <c:pt idx="29">
                  <c:v>Purbeck</c:v>
                </c:pt>
                <c:pt idx="30">
                  <c:v>Great Yarmouth</c:v>
                </c:pt>
                <c:pt idx="31">
                  <c:v>Richmond upon Thames</c:v>
                </c:pt>
                <c:pt idx="32">
                  <c:v>North East Lincolnshire</c:v>
                </c:pt>
                <c:pt idx="33">
                  <c:v>Lewes</c:v>
                </c:pt>
                <c:pt idx="34">
                  <c:v>Kingston upon Hull</c:v>
                </c:pt>
                <c:pt idx="35">
                  <c:v>North Devon</c:v>
                </c:pt>
                <c:pt idx="36">
                  <c:v>Bexley</c:v>
                </c:pt>
                <c:pt idx="37">
                  <c:v>Craven</c:v>
                </c:pt>
                <c:pt idx="38">
                  <c:v>Bolton</c:v>
                </c:pt>
                <c:pt idx="39">
                  <c:v>East Dorset</c:v>
                </c:pt>
                <c:pt idx="40">
                  <c:v>Crawley</c:v>
                </c:pt>
                <c:pt idx="41">
                  <c:v>Broxbourne</c:v>
                </c:pt>
                <c:pt idx="42">
                  <c:v>Erewash</c:v>
                </c:pt>
                <c:pt idx="43">
                  <c:v>Copeland</c:v>
                </c:pt>
                <c:pt idx="44">
                  <c:v>Stoke-on-Trent</c:v>
                </c:pt>
                <c:pt idx="45">
                  <c:v>Nottingham</c:v>
                </c:pt>
                <c:pt idx="46">
                  <c:v>Guildford</c:v>
                </c:pt>
                <c:pt idx="47">
                  <c:v>Calderdale</c:v>
                </c:pt>
                <c:pt idx="48">
                  <c:v>Solihull</c:v>
                </c:pt>
                <c:pt idx="49">
                  <c:v>Castle Point</c:v>
                </c:pt>
                <c:pt idx="50">
                  <c:v>Chelmsford</c:v>
                </c:pt>
                <c:pt idx="51">
                  <c:v>North Lincolnshire</c:v>
                </c:pt>
                <c:pt idx="52">
                  <c:v>Bury</c:v>
                </c:pt>
                <c:pt idx="53">
                  <c:v>Preston</c:v>
                </c:pt>
                <c:pt idx="54">
                  <c:v>West Somerset</c:v>
                </c:pt>
                <c:pt idx="55">
                  <c:v>Tendring</c:v>
                </c:pt>
                <c:pt idx="56">
                  <c:v>Hyndburn</c:v>
                </c:pt>
                <c:pt idx="57">
                  <c:v>East Riding of Yorkshire</c:v>
                </c:pt>
                <c:pt idx="58">
                  <c:v>Wycombe</c:v>
                </c:pt>
                <c:pt idx="59">
                  <c:v>Cannock Chase</c:v>
                </c:pt>
                <c:pt idx="60">
                  <c:v>Derby</c:v>
                </c:pt>
                <c:pt idx="61">
                  <c:v>North East Derbyshire</c:v>
                </c:pt>
                <c:pt idx="62">
                  <c:v>Braintree</c:v>
                </c:pt>
                <c:pt idx="63">
                  <c:v>Rother</c:v>
                </c:pt>
                <c:pt idx="64">
                  <c:v>Fareham</c:v>
                </c:pt>
                <c:pt idx="65">
                  <c:v>Redcar and Cleveland</c:v>
                </c:pt>
                <c:pt idx="66">
                  <c:v>Tameside</c:v>
                </c:pt>
                <c:pt idx="67">
                  <c:v>Shepway</c:v>
                </c:pt>
                <c:pt idx="68">
                  <c:v>Bromley</c:v>
                </c:pt>
                <c:pt idx="69">
                  <c:v>Surrey Heath</c:v>
                </c:pt>
                <c:pt idx="70">
                  <c:v>Waverley</c:v>
                </c:pt>
                <c:pt idx="71">
                  <c:v>Torbay</c:v>
                </c:pt>
                <c:pt idx="72">
                  <c:v>Burnley</c:v>
                </c:pt>
                <c:pt idx="73">
                  <c:v>Merton</c:v>
                </c:pt>
                <c:pt idx="74">
                  <c:v>Elmbridge</c:v>
                </c:pt>
                <c:pt idx="75">
                  <c:v>Wigan</c:v>
                </c:pt>
                <c:pt idx="76">
                  <c:v>Melton</c:v>
                </c:pt>
                <c:pt idx="77">
                  <c:v>Harlow</c:v>
                </c:pt>
                <c:pt idx="78">
                  <c:v>Warwick</c:v>
                </c:pt>
                <c:pt idx="79">
                  <c:v>Waveney</c:v>
                </c:pt>
                <c:pt idx="80">
                  <c:v>Sheffield</c:v>
                </c:pt>
                <c:pt idx="81">
                  <c:v>Amber Valley</c:v>
                </c:pt>
                <c:pt idx="82">
                  <c:v>Sutton</c:v>
                </c:pt>
                <c:pt idx="83">
                  <c:v>Sunderland</c:v>
                </c:pt>
                <c:pt idx="84">
                  <c:v>Richmondshire</c:v>
                </c:pt>
                <c:pt idx="85">
                  <c:v>Dudley</c:v>
                </c:pt>
                <c:pt idx="86">
                  <c:v>Staffordshire Moorlands</c:v>
                </c:pt>
                <c:pt idx="87">
                  <c:v>Worthing</c:v>
                </c:pt>
                <c:pt idx="88">
                  <c:v>Poole</c:v>
                </c:pt>
                <c:pt idx="89">
                  <c:v>Harrow</c:v>
                </c:pt>
                <c:pt idx="90">
                  <c:v>Gravesham</c:v>
                </c:pt>
                <c:pt idx="91">
                  <c:v>North Hertfordshire</c:v>
                </c:pt>
                <c:pt idx="92">
                  <c:v>Redditch</c:v>
                </c:pt>
                <c:pt idx="93">
                  <c:v>Brighton and Hove</c:v>
                </c:pt>
                <c:pt idx="94">
                  <c:v>Oldham</c:v>
                </c:pt>
                <c:pt idx="95">
                  <c:v>Christchurch</c:v>
                </c:pt>
                <c:pt idx="96">
                  <c:v>South Staffordshire</c:v>
                </c:pt>
                <c:pt idx="97">
                  <c:v>Tandridge</c:v>
                </c:pt>
                <c:pt idx="98">
                  <c:v>North Tyneside</c:v>
                </c:pt>
                <c:pt idx="99">
                  <c:v>Ipswich</c:v>
                </c:pt>
                <c:pt idx="100">
                  <c:v>Blackburn with Darwen</c:v>
                </c:pt>
                <c:pt idx="101">
                  <c:v>Stevenage</c:v>
                </c:pt>
                <c:pt idx="102">
                  <c:v>Oxford</c:v>
                </c:pt>
                <c:pt idx="103">
                  <c:v>Dover</c:v>
                </c:pt>
                <c:pt idx="104">
                  <c:v>Norwich</c:v>
                </c:pt>
                <c:pt idx="105">
                  <c:v>Sevenoaks</c:v>
                </c:pt>
                <c:pt idx="106">
                  <c:v>South Bucks</c:v>
                </c:pt>
                <c:pt idx="107">
                  <c:v>Birmingham</c:v>
                </c:pt>
                <c:pt idx="108">
                  <c:v>York</c:v>
                </c:pt>
                <c:pt idx="109">
                  <c:v>Spelthorne</c:v>
                </c:pt>
                <c:pt idx="110">
                  <c:v>Brentwood</c:v>
                </c:pt>
                <c:pt idx="111">
                  <c:v>Runnymede</c:v>
                </c:pt>
                <c:pt idx="112">
                  <c:v>Wolverhampton</c:v>
                </c:pt>
                <c:pt idx="113">
                  <c:v>St Edmundsbury</c:v>
                </c:pt>
                <c:pt idx="114">
                  <c:v>Lancaster</c:v>
                </c:pt>
                <c:pt idx="115">
                  <c:v>Durham UA</c:v>
                </c:pt>
                <c:pt idx="116">
                  <c:v>Pendle</c:v>
                </c:pt>
                <c:pt idx="117">
                  <c:v>South Tyneside</c:v>
                </c:pt>
                <c:pt idx="118">
                  <c:v>Gateshead</c:v>
                </c:pt>
                <c:pt idx="119">
                  <c:v>Eastleigh</c:v>
                </c:pt>
                <c:pt idx="120">
                  <c:v>Epping Forest</c:v>
                </c:pt>
                <c:pt idx="121">
                  <c:v>Nuneaton and Bedworth</c:v>
                </c:pt>
                <c:pt idx="122">
                  <c:v>Basingstoke and Deane</c:v>
                </c:pt>
                <c:pt idx="123">
                  <c:v>North Warwickshire</c:v>
                </c:pt>
                <c:pt idx="124">
                  <c:v>Northumberland</c:v>
                </c:pt>
                <c:pt idx="125">
                  <c:v>Hastings</c:v>
                </c:pt>
                <c:pt idx="126">
                  <c:v>Rushcliffe</c:v>
                </c:pt>
                <c:pt idx="127">
                  <c:v>West Oxfordshire</c:v>
                </c:pt>
                <c:pt idx="128">
                  <c:v>Broadland</c:v>
                </c:pt>
                <c:pt idx="129">
                  <c:v>Welwyn Hatfield</c:v>
                </c:pt>
                <c:pt idx="130">
                  <c:v>Babergh</c:v>
                </c:pt>
                <c:pt idx="131">
                  <c:v>South Hams</c:v>
                </c:pt>
                <c:pt idx="132">
                  <c:v>Hounslow</c:v>
                </c:pt>
                <c:pt idx="133">
                  <c:v>Bromsgrove</c:v>
                </c:pt>
                <c:pt idx="134">
                  <c:v>Boston</c:v>
                </c:pt>
                <c:pt idx="135">
                  <c:v>Hartlepool</c:v>
                </c:pt>
                <c:pt idx="136">
                  <c:v>St. Helens</c:v>
                </c:pt>
                <c:pt idx="137">
                  <c:v>Herefordshire</c:v>
                </c:pt>
                <c:pt idx="138">
                  <c:v>Suffolk Coastal</c:v>
                </c:pt>
                <c:pt idx="139">
                  <c:v>Luton</c:v>
                </c:pt>
                <c:pt idx="140">
                  <c:v>Bournemouth</c:v>
                </c:pt>
                <c:pt idx="141">
                  <c:v>Ealing</c:v>
                </c:pt>
                <c:pt idx="142">
                  <c:v>Cheshire East</c:v>
                </c:pt>
                <c:pt idx="143">
                  <c:v>Newark and Sherwood</c:v>
                </c:pt>
                <c:pt idx="144">
                  <c:v>Ashford</c:v>
                </c:pt>
                <c:pt idx="145">
                  <c:v>Bradford</c:v>
                </c:pt>
                <c:pt idx="146">
                  <c:v>Rossendale</c:v>
                </c:pt>
                <c:pt idx="147">
                  <c:v>Knowsley</c:v>
                </c:pt>
                <c:pt idx="148">
                  <c:v>Rushmoor</c:v>
                </c:pt>
                <c:pt idx="149">
                  <c:v>Leeds</c:v>
                </c:pt>
                <c:pt idx="150">
                  <c:v>West Lancashire</c:v>
                </c:pt>
                <c:pt idx="151">
                  <c:v>Hillingdon</c:v>
                </c:pt>
                <c:pt idx="152">
                  <c:v>East Staffordshire</c:v>
                </c:pt>
                <c:pt idx="153">
                  <c:v>Hambleton</c:v>
                </c:pt>
                <c:pt idx="154">
                  <c:v>Plymouth</c:v>
                </c:pt>
                <c:pt idx="155">
                  <c:v>Thanet</c:v>
                </c:pt>
                <c:pt idx="156">
                  <c:v>Woking</c:v>
                </c:pt>
                <c:pt idx="157">
                  <c:v>Weymouth and Portland</c:v>
                </c:pt>
                <c:pt idx="158">
                  <c:v>Arun</c:v>
                </c:pt>
                <c:pt idx="159">
                  <c:v>Malvern Hills</c:v>
                </c:pt>
                <c:pt idx="160">
                  <c:v>Rochford</c:v>
                </c:pt>
                <c:pt idx="161">
                  <c:v>West Dorset</c:v>
                </c:pt>
                <c:pt idx="162">
                  <c:v>Kirklees</c:v>
                </c:pt>
                <c:pt idx="163">
                  <c:v>Haringey</c:v>
                </c:pt>
                <c:pt idx="164">
                  <c:v>Rochdale</c:v>
                </c:pt>
                <c:pt idx="165">
                  <c:v>Isle of Wight</c:v>
                </c:pt>
                <c:pt idx="166">
                  <c:v>Stockton-on-Tees</c:v>
                </c:pt>
                <c:pt idx="167">
                  <c:v>South Ribble</c:v>
                </c:pt>
                <c:pt idx="168">
                  <c:v>Havant</c:v>
                </c:pt>
                <c:pt idx="169">
                  <c:v>Waltham Forest</c:v>
                </c:pt>
                <c:pt idx="170">
                  <c:v>East Cambridgeshire</c:v>
                </c:pt>
                <c:pt idx="171">
                  <c:v>East Lindsey</c:v>
                </c:pt>
                <c:pt idx="172">
                  <c:v>Newcastle-under-Lyme</c:v>
                </c:pt>
                <c:pt idx="173">
                  <c:v>Eden</c:v>
                </c:pt>
                <c:pt idx="174">
                  <c:v>Fylde</c:v>
                </c:pt>
                <c:pt idx="175">
                  <c:v>Lichfield</c:v>
                </c:pt>
                <c:pt idx="176">
                  <c:v>Carlisle</c:v>
                </c:pt>
                <c:pt idx="177">
                  <c:v>Kingston upon Thames</c:v>
                </c:pt>
                <c:pt idx="178">
                  <c:v>King's Lynn and West Norfolk</c:v>
                </c:pt>
                <c:pt idx="179">
                  <c:v>Bassetlaw</c:v>
                </c:pt>
                <c:pt idx="180">
                  <c:v>Walsall</c:v>
                </c:pt>
                <c:pt idx="181">
                  <c:v>Windsor and Maidenhead</c:v>
                </c:pt>
                <c:pt idx="182">
                  <c:v>Three Rivers</c:v>
                </c:pt>
                <c:pt idx="183">
                  <c:v>West Berkshire</c:v>
                </c:pt>
                <c:pt idx="184">
                  <c:v>Halton</c:v>
                </c:pt>
                <c:pt idx="185">
                  <c:v>Mansfield</c:v>
                </c:pt>
                <c:pt idx="186">
                  <c:v>St Albans</c:v>
                </c:pt>
                <c:pt idx="187">
                  <c:v>Cheltenham</c:v>
                </c:pt>
                <c:pt idx="188">
                  <c:v>South Holland</c:v>
                </c:pt>
                <c:pt idx="189">
                  <c:v>Wellingborough</c:v>
                </c:pt>
                <c:pt idx="190">
                  <c:v>Wakefield</c:v>
                </c:pt>
                <c:pt idx="191">
                  <c:v>Warrington</c:v>
                </c:pt>
                <c:pt idx="192">
                  <c:v>Basildon</c:v>
                </c:pt>
                <c:pt idx="193">
                  <c:v>Barnet</c:v>
                </c:pt>
                <c:pt idx="194">
                  <c:v>Swindon</c:v>
                </c:pt>
                <c:pt idx="195">
                  <c:v>North Norfolk</c:v>
                </c:pt>
                <c:pt idx="196">
                  <c:v>Cheshire West and Chester</c:v>
                </c:pt>
                <c:pt idx="197">
                  <c:v>Liverpool</c:v>
                </c:pt>
                <c:pt idx="198">
                  <c:v>North Dorset</c:v>
                </c:pt>
                <c:pt idx="199">
                  <c:v>Rotherham</c:v>
                </c:pt>
                <c:pt idx="200">
                  <c:v>Canterbury</c:v>
                </c:pt>
                <c:pt idx="201">
                  <c:v>Hertsmere</c:v>
                </c:pt>
                <c:pt idx="202">
                  <c:v>Gedling</c:v>
                </c:pt>
                <c:pt idx="203">
                  <c:v>Doncaster</c:v>
                </c:pt>
                <c:pt idx="204">
                  <c:v>Maidstone</c:v>
                </c:pt>
                <c:pt idx="205">
                  <c:v>Thurrock</c:v>
                </c:pt>
                <c:pt idx="206">
                  <c:v>Middlesbrough</c:v>
                </c:pt>
                <c:pt idx="207">
                  <c:v>Barnsley</c:v>
                </c:pt>
                <c:pt idx="208">
                  <c:v>Winchester</c:v>
                </c:pt>
                <c:pt idx="209">
                  <c:v>Epsom and Ewell</c:v>
                </c:pt>
                <c:pt idx="210">
                  <c:v>Swale</c:v>
                </c:pt>
                <c:pt idx="211">
                  <c:v>Bracknell Forest</c:v>
                </c:pt>
                <c:pt idx="212">
                  <c:v>West Devon</c:v>
                </c:pt>
                <c:pt idx="213">
                  <c:v>Southampton</c:v>
                </c:pt>
                <c:pt idx="214">
                  <c:v>Huntingdonshire</c:v>
                </c:pt>
                <c:pt idx="215">
                  <c:v>Dacorum</c:v>
                </c:pt>
                <c:pt idx="216">
                  <c:v>Bristol</c:v>
                </c:pt>
                <c:pt idx="217">
                  <c:v>Slough</c:v>
                </c:pt>
                <c:pt idx="218">
                  <c:v>Sandwell</c:v>
                </c:pt>
                <c:pt idx="219">
                  <c:v>Hart</c:v>
                </c:pt>
                <c:pt idx="220">
                  <c:v>Reading</c:v>
                </c:pt>
                <c:pt idx="221">
                  <c:v>North Somerset</c:v>
                </c:pt>
                <c:pt idx="222">
                  <c:v>Croydon</c:v>
                </c:pt>
                <c:pt idx="223">
                  <c:v>Medway</c:v>
                </c:pt>
                <c:pt idx="224">
                  <c:v>Allerdale</c:v>
                </c:pt>
                <c:pt idx="225">
                  <c:v>Shropshire</c:v>
                </c:pt>
                <c:pt idx="226">
                  <c:v>Reigate and Banstead</c:v>
                </c:pt>
                <c:pt idx="227">
                  <c:v>Bolsover</c:v>
                </c:pt>
                <c:pt idx="228">
                  <c:v>Worcester</c:v>
                </c:pt>
                <c:pt idx="229">
                  <c:v>Stratford-on-Avon</c:v>
                </c:pt>
                <c:pt idx="230">
                  <c:v>Bath and North East Somerset</c:v>
                </c:pt>
                <c:pt idx="231">
                  <c:v>Wokingham</c:v>
                </c:pt>
                <c:pt idx="232">
                  <c:v>Camden</c:v>
                </c:pt>
                <c:pt idx="233">
                  <c:v>Fenland</c:v>
                </c:pt>
                <c:pt idx="234">
                  <c:v>Cornwall</c:v>
                </c:pt>
                <c:pt idx="235">
                  <c:v>Lincoln</c:v>
                </c:pt>
                <c:pt idx="236">
                  <c:v>South Somerset</c:v>
                </c:pt>
                <c:pt idx="237">
                  <c:v>Stafford</c:v>
                </c:pt>
                <c:pt idx="238">
                  <c:v>Newcastle upon Tyne</c:v>
                </c:pt>
                <c:pt idx="239">
                  <c:v>East Hertfordshire</c:v>
                </c:pt>
                <c:pt idx="240">
                  <c:v>Darlington</c:v>
                </c:pt>
                <c:pt idx="241">
                  <c:v>Daventry</c:v>
                </c:pt>
                <c:pt idx="242">
                  <c:v>South Northamptonshire</c:v>
                </c:pt>
                <c:pt idx="243">
                  <c:v>Wyre</c:v>
                </c:pt>
                <c:pt idx="244">
                  <c:v>Westminster</c:v>
                </c:pt>
                <c:pt idx="245">
                  <c:v>Mid Devon</c:v>
                </c:pt>
                <c:pt idx="246">
                  <c:v>Blaby</c:v>
                </c:pt>
                <c:pt idx="247">
                  <c:v>Torridge</c:v>
                </c:pt>
                <c:pt idx="248">
                  <c:v>Forest of Dean</c:v>
                </c:pt>
                <c:pt idx="249">
                  <c:v>Wealden</c:v>
                </c:pt>
                <c:pt idx="250">
                  <c:v>Coventry</c:v>
                </c:pt>
                <c:pt idx="251">
                  <c:v>Northampton</c:v>
                </c:pt>
                <c:pt idx="252">
                  <c:v>North Kesteven</c:v>
                </c:pt>
                <c:pt idx="253">
                  <c:v>Mid Suffolk</c:v>
                </c:pt>
                <c:pt idx="254">
                  <c:v>South Gloucestershire</c:v>
                </c:pt>
                <c:pt idx="255">
                  <c:v>South Kesteven</c:v>
                </c:pt>
                <c:pt idx="256">
                  <c:v>Mendip</c:v>
                </c:pt>
                <c:pt idx="257">
                  <c:v>Charnwood</c:v>
                </c:pt>
                <c:pt idx="258">
                  <c:v>Manchester</c:v>
                </c:pt>
                <c:pt idx="259">
                  <c:v>Brent</c:v>
                </c:pt>
                <c:pt idx="260">
                  <c:v>East Hampshire</c:v>
                </c:pt>
                <c:pt idx="261">
                  <c:v>Salford</c:v>
                </c:pt>
                <c:pt idx="262">
                  <c:v>Kettering</c:v>
                </c:pt>
                <c:pt idx="263">
                  <c:v>Chichester</c:v>
                </c:pt>
                <c:pt idx="264">
                  <c:v>South Oxfordshire</c:v>
                </c:pt>
                <c:pt idx="265">
                  <c:v>Ribble Valley</c:v>
                </c:pt>
                <c:pt idx="266">
                  <c:v>Barking and Dagenham</c:v>
                </c:pt>
                <c:pt idx="267">
                  <c:v>Watford</c:v>
                </c:pt>
                <c:pt idx="268">
                  <c:v>Havering</c:v>
                </c:pt>
                <c:pt idx="269">
                  <c:v>South Cambridgeshire</c:v>
                </c:pt>
                <c:pt idx="270">
                  <c:v>Selby</c:v>
                </c:pt>
                <c:pt idx="271">
                  <c:v>Breckland</c:v>
                </c:pt>
                <c:pt idx="272">
                  <c:v>Ryedale</c:v>
                </c:pt>
                <c:pt idx="273">
                  <c:v>Forest Heath</c:v>
                </c:pt>
                <c:pt idx="274">
                  <c:v>Gloucester</c:v>
                </c:pt>
                <c:pt idx="275">
                  <c:v>Wyre Forest</c:v>
                </c:pt>
                <c:pt idx="276">
                  <c:v>Wiltshire</c:v>
                </c:pt>
                <c:pt idx="277">
                  <c:v>Tonbridge and Malling</c:v>
                </c:pt>
                <c:pt idx="278">
                  <c:v>West Lindsey</c:v>
                </c:pt>
                <c:pt idx="279">
                  <c:v>East Northamptonshire</c:v>
                </c:pt>
                <c:pt idx="280">
                  <c:v>Rutland</c:v>
                </c:pt>
                <c:pt idx="281">
                  <c:v>Sedgemoor</c:v>
                </c:pt>
                <c:pt idx="282">
                  <c:v>Lewisham</c:v>
                </c:pt>
                <c:pt idx="283">
                  <c:v>Wandsworth</c:v>
                </c:pt>
                <c:pt idx="284">
                  <c:v>Stroud</c:v>
                </c:pt>
                <c:pt idx="285">
                  <c:v>South Derbyshire</c:v>
                </c:pt>
                <c:pt idx="286">
                  <c:v>Hammersmith and Fulham</c:v>
                </c:pt>
                <c:pt idx="287">
                  <c:v>Cotswold</c:v>
                </c:pt>
                <c:pt idx="288">
                  <c:v>Teignbridge</c:v>
                </c:pt>
                <c:pt idx="289">
                  <c:v>Ashfield</c:v>
                </c:pt>
                <c:pt idx="290">
                  <c:v>Colchester</c:v>
                </c:pt>
                <c:pt idx="291">
                  <c:v>Mid Sussex</c:v>
                </c:pt>
                <c:pt idx="292">
                  <c:v>Cherwell</c:v>
                </c:pt>
                <c:pt idx="293">
                  <c:v>Leicester</c:v>
                </c:pt>
                <c:pt idx="294">
                  <c:v>Hinckley and Bosworth</c:v>
                </c:pt>
                <c:pt idx="295">
                  <c:v>Exeter</c:v>
                </c:pt>
                <c:pt idx="296">
                  <c:v>Lambeth</c:v>
                </c:pt>
                <c:pt idx="297">
                  <c:v>Islington</c:v>
                </c:pt>
                <c:pt idx="298">
                  <c:v>Taunton Deane</c:v>
                </c:pt>
                <c:pt idx="299">
                  <c:v>Milton Keynes</c:v>
                </c:pt>
                <c:pt idx="300">
                  <c:v>Vale of White Horse</c:v>
                </c:pt>
                <c:pt idx="301">
                  <c:v>East Devon</c:v>
                </c:pt>
                <c:pt idx="302">
                  <c:v>Rugby</c:v>
                </c:pt>
                <c:pt idx="303">
                  <c:v>Central Bedfordshire</c:v>
                </c:pt>
                <c:pt idx="304">
                  <c:v>Horsham</c:v>
                </c:pt>
                <c:pt idx="305">
                  <c:v>North West Leicestershire</c:v>
                </c:pt>
                <c:pt idx="306">
                  <c:v>Southwark</c:v>
                </c:pt>
                <c:pt idx="307">
                  <c:v>South Norfolk</c:v>
                </c:pt>
                <c:pt idx="308">
                  <c:v>Wychavon</c:v>
                </c:pt>
                <c:pt idx="309">
                  <c:v>Peterborough</c:v>
                </c:pt>
                <c:pt idx="310">
                  <c:v>Harborough</c:v>
                </c:pt>
                <c:pt idx="311">
                  <c:v>Telford and Wrekin</c:v>
                </c:pt>
                <c:pt idx="312">
                  <c:v>Dartford</c:v>
                </c:pt>
                <c:pt idx="313">
                  <c:v>Bedford</c:v>
                </c:pt>
                <c:pt idx="314">
                  <c:v>Test Valley</c:v>
                </c:pt>
                <c:pt idx="315">
                  <c:v>Tewkesbury</c:v>
                </c:pt>
                <c:pt idx="316">
                  <c:v>Uttlesford</c:v>
                </c:pt>
                <c:pt idx="317">
                  <c:v>Newham</c:v>
                </c:pt>
                <c:pt idx="318">
                  <c:v>Aylesbury Vale</c:v>
                </c:pt>
                <c:pt idx="319">
                  <c:v>Greenwich</c:v>
                </c:pt>
                <c:pt idx="320">
                  <c:v>Chorley</c:v>
                </c:pt>
                <c:pt idx="321">
                  <c:v>Corby</c:v>
                </c:pt>
                <c:pt idx="322">
                  <c:v>Hackney</c:v>
                </c:pt>
                <c:pt idx="323">
                  <c:v>Cambridge</c:v>
                </c:pt>
                <c:pt idx="324">
                  <c:v>Tower Hamlets</c:v>
                </c:pt>
                <c:pt idx="325">
                  <c:v>City of London</c:v>
                </c:pt>
              </c:strCache>
            </c:strRef>
          </c:cat>
          <c:val>
            <c:numRef>
              <c:f>Sheet1!$E$3:$E$328</c:f>
              <c:numCache>
                <c:formatCode>0.00%</c:formatCode>
                <c:ptCount val="326"/>
                <c:pt idx="0">
                  <c:v>0</c:v>
                </c:pt>
                <c:pt idx="1">
                  <c:v>3.9658108671345387E-4</c:v>
                </c:pt>
                <c:pt idx="2">
                  <c:v>4.0133645949023581E-4</c:v>
                </c:pt>
                <c:pt idx="3">
                  <c:v>0</c:v>
                </c:pt>
                <c:pt idx="4">
                  <c:v>8.3289167391409162E-4</c:v>
                </c:pt>
                <c:pt idx="5">
                  <c:v>9.1549323725717048E-4</c:v>
                </c:pt>
                <c:pt idx="6">
                  <c:v>9.3809999075734679E-4</c:v>
                </c:pt>
                <c:pt idx="7">
                  <c:v>9.605190072962251E-4</c:v>
                </c:pt>
                <c:pt idx="8">
                  <c:v>1.0286035322665487E-3</c:v>
                </c:pt>
                <c:pt idx="9">
                  <c:v>1.0293100615949235E-3</c:v>
                </c:pt>
                <c:pt idx="10">
                  <c:v>1.041811494956632E-3</c:v>
                </c:pt>
                <c:pt idx="11">
                  <c:v>1.0456370297028032E-3</c:v>
                </c:pt>
                <c:pt idx="12">
                  <c:v>1.0636608980040721E-3</c:v>
                </c:pt>
                <c:pt idx="13">
                  <c:v>1.0739220849420516E-3</c:v>
                </c:pt>
                <c:pt idx="14">
                  <c:v>1.0860218887755861E-3</c:v>
                </c:pt>
                <c:pt idx="15">
                  <c:v>1.093192970916712E-3</c:v>
                </c:pt>
                <c:pt idx="16">
                  <c:v>1.1215055805944322E-3</c:v>
                </c:pt>
                <c:pt idx="17">
                  <c:v>1.1540748094667961E-3</c:v>
                </c:pt>
                <c:pt idx="18">
                  <c:v>1.1593824559853678E-3</c:v>
                </c:pt>
                <c:pt idx="19">
                  <c:v>1.1624035462986168E-3</c:v>
                </c:pt>
                <c:pt idx="20">
                  <c:v>1.1718274100788514E-3</c:v>
                </c:pt>
                <c:pt idx="21">
                  <c:v>1.1805651173249585E-3</c:v>
                </c:pt>
                <c:pt idx="22">
                  <c:v>1.2033196923176917E-3</c:v>
                </c:pt>
                <c:pt idx="23">
                  <c:v>0</c:v>
                </c:pt>
                <c:pt idx="24">
                  <c:v>1.2324410857956305E-3</c:v>
                </c:pt>
                <c:pt idx="25">
                  <c:v>0</c:v>
                </c:pt>
                <c:pt idx="26">
                  <c:v>1.2420609852862811E-3</c:v>
                </c:pt>
                <c:pt idx="27">
                  <c:v>1.2562817946297599E-3</c:v>
                </c:pt>
                <c:pt idx="28">
                  <c:v>1.2663964793880097E-3</c:v>
                </c:pt>
                <c:pt idx="29">
                  <c:v>1.2678729454026199E-3</c:v>
                </c:pt>
                <c:pt idx="30">
                  <c:v>1.270666052729948E-3</c:v>
                </c:pt>
                <c:pt idx="31">
                  <c:v>1.2791512589367651E-3</c:v>
                </c:pt>
                <c:pt idx="32">
                  <c:v>1.2914633488363876E-3</c:v>
                </c:pt>
                <c:pt idx="33">
                  <c:v>1.4167322027021909E-3</c:v>
                </c:pt>
                <c:pt idx="34">
                  <c:v>0</c:v>
                </c:pt>
                <c:pt idx="35">
                  <c:v>1.4479891787141301E-3</c:v>
                </c:pt>
                <c:pt idx="36">
                  <c:v>1.4545293312993733E-3</c:v>
                </c:pt>
                <c:pt idx="37">
                  <c:v>1.4556930948411405E-3</c:v>
                </c:pt>
                <c:pt idx="38">
                  <c:v>0</c:v>
                </c:pt>
                <c:pt idx="39">
                  <c:v>1.4724357311160132E-3</c:v>
                </c:pt>
                <c:pt idx="40">
                  <c:v>1.4764352600769371E-3</c:v>
                </c:pt>
                <c:pt idx="41">
                  <c:v>1.4798367139847726E-3</c:v>
                </c:pt>
                <c:pt idx="42">
                  <c:v>1.5075347149034494E-3</c:v>
                </c:pt>
                <c:pt idx="43">
                  <c:v>1.5133850608526163E-3</c:v>
                </c:pt>
                <c:pt idx="44">
                  <c:v>0</c:v>
                </c:pt>
                <c:pt idx="45">
                  <c:v>0</c:v>
                </c:pt>
                <c:pt idx="46">
                  <c:v>1.5258578058924713E-3</c:v>
                </c:pt>
                <c:pt idx="47">
                  <c:v>0</c:v>
                </c:pt>
                <c:pt idx="48">
                  <c:v>1.5330715069165411E-3</c:v>
                </c:pt>
                <c:pt idx="49">
                  <c:v>1.5535295043660291E-3</c:v>
                </c:pt>
                <c:pt idx="50">
                  <c:v>1.5586293936650632E-3</c:v>
                </c:pt>
                <c:pt idx="51">
                  <c:v>1.559340091055766E-3</c:v>
                </c:pt>
                <c:pt idx="52">
                  <c:v>0</c:v>
                </c:pt>
                <c:pt idx="53">
                  <c:v>1.5853428334718317E-3</c:v>
                </c:pt>
                <c:pt idx="54">
                  <c:v>1.5899270268803674E-3</c:v>
                </c:pt>
                <c:pt idx="55">
                  <c:v>1.5997275595801901E-3</c:v>
                </c:pt>
                <c:pt idx="56">
                  <c:v>1.6068022543767942E-3</c:v>
                </c:pt>
                <c:pt idx="57">
                  <c:v>1.6093979461355792E-3</c:v>
                </c:pt>
                <c:pt idx="58">
                  <c:v>1.6095441545363803E-3</c:v>
                </c:pt>
                <c:pt idx="59">
                  <c:v>1.60965902675642E-3</c:v>
                </c:pt>
                <c:pt idx="60">
                  <c:v>0</c:v>
                </c:pt>
                <c:pt idx="61">
                  <c:v>1.6347792729975946E-3</c:v>
                </c:pt>
                <c:pt idx="62">
                  <c:v>1.6563306570938352E-3</c:v>
                </c:pt>
                <c:pt idx="63">
                  <c:v>1.6778930461226053E-3</c:v>
                </c:pt>
                <c:pt idx="64">
                  <c:v>1.6814536732263478E-3</c:v>
                </c:pt>
                <c:pt idx="65">
                  <c:v>1.6930350700670334E-3</c:v>
                </c:pt>
                <c:pt idx="66">
                  <c:v>0</c:v>
                </c:pt>
                <c:pt idx="67">
                  <c:v>1.6995943397004874E-3</c:v>
                </c:pt>
                <c:pt idx="68">
                  <c:v>1.7003544817544966E-3</c:v>
                </c:pt>
                <c:pt idx="69">
                  <c:v>1.7010720863847922E-3</c:v>
                </c:pt>
                <c:pt idx="70">
                  <c:v>1.7019274739200701E-3</c:v>
                </c:pt>
                <c:pt idx="71">
                  <c:v>1.7050523327254601E-3</c:v>
                </c:pt>
                <c:pt idx="72">
                  <c:v>1.7107840055693188E-3</c:v>
                </c:pt>
                <c:pt idx="73">
                  <c:v>1.7108134407246025E-3</c:v>
                </c:pt>
                <c:pt idx="74">
                  <c:v>1.7127556039080321E-3</c:v>
                </c:pt>
                <c:pt idx="75">
                  <c:v>0</c:v>
                </c:pt>
                <c:pt idx="76">
                  <c:v>1.7231957241492716E-3</c:v>
                </c:pt>
                <c:pt idx="77">
                  <c:v>1.7242725605720363E-3</c:v>
                </c:pt>
                <c:pt idx="78">
                  <c:v>1.7307247447898824E-3</c:v>
                </c:pt>
                <c:pt idx="79">
                  <c:v>1.7344437160381058E-3</c:v>
                </c:pt>
                <c:pt idx="80">
                  <c:v>0</c:v>
                </c:pt>
                <c:pt idx="81">
                  <c:v>1.751723260364731E-3</c:v>
                </c:pt>
                <c:pt idx="82">
                  <c:v>1.7638902061588367E-3</c:v>
                </c:pt>
                <c:pt idx="83">
                  <c:v>0</c:v>
                </c:pt>
                <c:pt idx="84">
                  <c:v>1.7817591055090168E-3</c:v>
                </c:pt>
                <c:pt idx="85">
                  <c:v>0</c:v>
                </c:pt>
                <c:pt idx="86">
                  <c:v>1.7892934061729876E-3</c:v>
                </c:pt>
                <c:pt idx="87">
                  <c:v>1.8082705159035383E-3</c:v>
                </c:pt>
                <c:pt idx="88">
                  <c:v>1.8113434206625586E-3</c:v>
                </c:pt>
                <c:pt idx="89">
                  <c:v>1.8146791690052278E-3</c:v>
                </c:pt>
                <c:pt idx="90">
                  <c:v>1.8188313430479775E-3</c:v>
                </c:pt>
                <c:pt idx="91">
                  <c:v>1.8189429183496956E-3</c:v>
                </c:pt>
                <c:pt idx="92">
                  <c:v>1.8211271746685679E-3</c:v>
                </c:pt>
                <c:pt idx="93">
                  <c:v>1.8301746998804983E-3</c:v>
                </c:pt>
                <c:pt idx="94">
                  <c:v>0</c:v>
                </c:pt>
                <c:pt idx="95">
                  <c:v>1.8483740777315285E-3</c:v>
                </c:pt>
                <c:pt idx="96">
                  <c:v>1.8487177928629569E-3</c:v>
                </c:pt>
                <c:pt idx="97">
                  <c:v>1.8498573549170024E-3</c:v>
                </c:pt>
                <c:pt idx="98">
                  <c:v>0</c:v>
                </c:pt>
                <c:pt idx="99">
                  <c:v>1.8623858732032771E-3</c:v>
                </c:pt>
                <c:pt idx="100">
                  <c:v>0</c:v>
                </c:pt>
                <c:pt idx="101">
                  <c:v>1.8687348919644027E-3</c:v>
                </c:pt>
                <c:pt idx="102">
                  <c:v>1.8711312067289118E-3</c:v>
                </c:pt>
                <c:pt idx="103">
                  <c:v>1.871694794988259E-3</c:v>
                </c:pt>
                <c:pt idx="104">
                  <c:v>1.8734061509731155E-3</c:v>
                </c:pt>
                <c:pt idx="105">
                  <c:v>1.920655569962536E-3</c:v>
                </c:pt>
                <c:pt idx="106">
                  <c:v>1.9240175245542456E-3</c:v>
                </c:pt>
                <c:pt idx="107">
                  <c:v>1.9260313684737098E-3</c:v>
                </c:pt>
                <c:pt idx="108">
                  <c:v>1.9382645836262587E-3</c:v>
                </c:pt>
                <c:pt idx="109">
                  <c:v>1.9394882489209469E-3</c:v>
                </c:pt>
                <c:pt idx="110">
                  <c:v>1.9477349196477488E-3</c:v>
                </c:pt>
                <c:pt idx="111">
                  <c:v>1.9511513524237186E-3</c:v>
                </c:pt>
                <c:pt idx="112">
                  <c:v>0</c:v>
                </c:pt>
                <c:pt idx="113">
                  <c:v>1.963614323847541E-3</c:v>
                </c:pt>
                <c:pt idx="114">
                  <c:v>1.9810113456461623E-3</c:v>
                </c:pt>
                <c:pt idx="115">
                  <c:v>0</c:v>
                </c:pt>
                <c:pt idx="116">
                  <c:v>2.0034054406164879E-3</c:v>
                </c:pt>
                <c:pt idx="117">
                  <c:v>0</c:v>
                </c:pt>
                <c:pt idx="118">
                  <c:v>0</c:v>
                </c:pt>
                <c:pt idx="119">
                  <c:v>2.0283183851731671E-3</c:v>
                </c:pt>
                <c:pt idx="120">
                  <c:v>2.0287864563396291E-3</c:v>
                </c:pt>
                <c:pt idx="121">
                  <c:v>2.0300833788255796E-3</c:v>
                </c:pt>
                <c:pt idx="122">
                  <c:v>2.0363441225245134E-3</c:v>
                </c:pt>
                <c:pt idx="123">
                  <c:v>2.0519934768078491E-3</c:v>
                </c:pt>
                <c:pt idx="124">
                  <c:v>2.0557197815290603E-3</c:v>
                </c:pt>
                <c:pt idx="125">
                  <c:v>2.058097833745688E-3</c:v>
                </c:pt>
                <c:pt idx="126">
                  <c:v>2.072400223914759E-3</c:v>
                </c:pt>
                <c:pt idx="127">
                  <c:v>2.0763236949446246E-3</c:v>
                </c:pt>
                <c:pt idx="128">
                  <c:v>2.0803366625179302E-3</c:v>
                </c:pt>
                <c:pt idx="129">
                  <c:v>2.081011667116466E-3</c:v>
                </c:pt>
                <c:pt idx="130">
                  <c:v>2.0982617222070504E-3</c:v>
                </c:pt>
                <c:pt idx="131">
                  <c:v>2.1005967292664048E-3</c:v>
                </c:pt>
                <c:pt idx="132">
                  <c:v>2.1065644854050473E-3</c:v>
                </c:pt>
                <c:pt idx="133">
                  <c:v>2.1139514065352254E-3</c:v>
                </c:pt>
                <c:pt idx="134">
                  <c:v>2.1343207412542289E-3</c:v>
                </c:pt>
                <c:pt idx="135">
                  <c:v>2.1447131817955343E-3</c:v>
                </c:pt>
                <c:pt idx="136">
                  <c:v>0</c:v>
                </c:pt>
                <c:pt idx="137">
                  <c:v>2.1502677483567225E-3</c:v>
                </c:pt>
                <c:pt idx="138">
                  <c:v>2.1655502083290736E-3</c:v>
                </c:pt>
                <c:pt idx="139">
                  <c:v>2.1754339241823119E-3</c:v>
                </c:pt>
                <c:pt idx="140">
                  <c:v>2.1764165871846299E-3</c:v>
                </c:pt>
                <c:pt idx="141">
                  <c:v>2.1772115897102256E-3</c:v>
                </c:pt>
                <c:pt idx="142">
                  <c:v>2.1776373535535394E-3</c:v>
                </c:pt>
                <c:pt idx="143">
                  <c:v>2.1875435704638395E-3</c:v>
                </c:pt>
                <c:pt idx="144">
                  <c:v>2.1960298920018985E-3</c:v>
                </c:pt>
                <c:pt idx="145">
                  <c:v>0</c:v>
                </c:pt>
                <c:pt idx="146">
                  <c:v>2.2325348936797886E-3</c:v>
                </c:pt>
                <c:pt idx="147">
                  <c:v>0</c:v>
                </c:pt>
                <c:pt idx="148">
                  <c:v>2.2385885272708356E-3</c:v>
                </c:pt>
                <c:pt idx="149">
                  <c:v>0</c:v>
                </c:pt>
                <c:pt idx="150">
                  <c:v>2.2406611032711934E-3</c:v>
                </c:pt>
                <c:pt idx="151">
                  <c:v>2.2458314852865494E-3</c:v>
                </c:pt>
                <c:pt idx="152">
                  <c:v>2.2562829542886022E-3</c:v>
                </c:pt>
                <c:pt idx="153">
                  <c:v>2.2581132036239003E-3</c:v>
                </c:pt>
                <c:pt idx="154">
                  <c:v>0</c:v>
                </c:pt>
                <c:pt idx="155">
                  <c:v>2.2675839135163204E-3</c:v>
                </c:pt>
                <c:pt idx="156">
                  <c:v>2.2746194259826566E-3</c:v>
                </c:pt>
                <c:pt idx="157">
                  <c:v>2.280293760042728E-3</c:v>
                </c:pt>
                <c:pt idx="158">
                  <c:v>2.2836870456692054E-3</c:v>
                </c:pt>
                <c:pt idx="159">
                  <c:v>2.2858551730115311E-3</c:v>
                </c:pt>
                <c:pt idx="160">
                  <c:v>2.3138262827595135E-3</c:v>
                </c:pt>
                <c:pt idx="161">
                  <c:v>2.3259471781826939E-3</c:v>
                </c:pt>
                <c:pt idx="162">
                  <c:v>0</c:v>
                </c:pt>
                <c:pt idx="163">
                  <c:v>2.3359094544083067E-3</c:v>
                </c:pt>
                <c:pt idx="164">
                  <c:v>0</c:v>
                </c:pt>
                <c:pt idx="165">
                  <c:v>2.3481505591477145E-3</c:v>
                </c:pt>
                <c:pt idx="166">
                  <c:v>0</c:v>
                </c:pt>
                <c:pt idx="167">
                  <c:v>2.3579374928076823E-3</c:v>
                </c:pt>
                <c:pt idx="168">
                  <c:v>2.3606818766075018E-3</c:v>
                </c:pt>
                <c:pt idx="169">
                  <c:v>2.3611850086693144E-3</c:v>
                </c:pt>
                <c:pt idx="170">
                  <c:v>2.3612673437823231E-3</c:v>
                </c:pt>
                <c:pt idx="171">
                  <c:v>2.3643462481779242E-3</c:v>
                </c:pt>
                <c:pt idx="172">
                  <c:v>2.367832861542323E-3</c:v>
                </c:pt>
                <c:pt idx="173">
                  <c:v>2.3781167866854932E-3</c:v>
                </c:pt>
                <c:pt idx="174">
                  <c:v>2.384540460596741E-3</c:v>
                </c:pt>
                <c:pt idx="175">
                  <c:v>2.3949764262042564E-3</c:v>
                </c:pt>
                <c:pt idx="176">
                  <c:v>2.3988785223099697E-3</c:v>
                </c:pt>
                <c:pt idx="177">
                  <c:v>2.4035397258306002E-3</c:v>
                </c:pt>
                <c:pt idx="178">
                  <c:v>2.4169532661399897E-3</c:v>
                </c:pt>
                <c:pt idx="179">
                  <c:v>2.4179367421062158E-3</c:v>
                </c:pt>
                <c:pt idx="180">
                  <c:v>0</c:v>
                </c:pt>
                <c:pt idx="181">
                  <c:v>2.4319397598556278E-3</c:v>
                </c:pt>
                <c:pt idx="182">
                  <c:v>2.4357213567856597E-3</c:v>
                </c:pt>
                <c:pt idx="183">
                  <c:v>2.4402747382194735E-3</c:v>
                </c:pt>
                <c:pt idx="184">
                  <c:v>0</c:v>
                </c:pt>
                <c:pt idx="185">
                  <c:v>2.4601051456654283E-3</c:v>
                </c:pt>
                <c:pt idx="186">
                  <c:v>2.4605286827940882E-3</c:v>
                </c:pt>
                <c:pt idx="187">
                  <c:v>2.4731024440551473E-3</c:v>
                </c:pt>
                <c:pt idx="188">
                  <c:v>2.4854760945330662E-3</c:v>
                </c:pt>
                <c:pt idx="189">
                  <c:v>2.4882495630713345E-3</c:v>
                </c:pt>
                <c:pt idx="190">
                  <c:v>0</c:v>
                </c:pt>
                <c:pt idx="191">
                  <c:v>0</c:v>
                </c:pt>
                <c:pt idx="192">
                  <c:v>2.5105574892113455E-3</c:v>
                </c:pt>
                <c:pt idx="193">
                  <c:v>2.5146673526838226E-3</c:v>
                </c:pt>
                <c:pt idx="194">
                  <c:v>2.5272350221194635E-3</c:v>
                </c:pt>
                <c:pt idx="195">
                  <c:v>2.5398625228991922E-3</c:v>
                </c:pt>
                <c:pt idx="196">
                  <c:v>2.5408466301443913E-3</c:v>
                </c:pt>
                <c:pt idx="197">
                  <c:v>0</c:v>
                </c:pt>
                <c:pt idx="198">
                  <c:v>2.5526376228121464E-3</c:v>
                </c:pt>
                <c:pt idx="199">
                  <c:v>0</c:v>
                </c:pt>
                <c:pt idx="200">
                  <c:v>2.5689201627478266E-3</c:v>
                </c:pt>
                <c:pt idx="201">
                  <c:v>2.5784384977327575E-3</c:v>
                </c:pt>
                <c:pt idx="202">
                  <c:v>2.5840257156201129E-3</c:v>
                </c:pt>
                <c:pt idx="203">
                  <c:v>0</c:v>
                </c:pt>
                <c:pt idx="204">
                  <c:v>2.6060741678367088E-3</c:v>
                </c:pt>
                <c:pt idx="205">
                  <c:v>2.6199827777380748E-3</c:v>
                </c:pt>
                <c:pt idx="206">
                  <c:v>2.6205972162880505E-3</c:v>
                </c:pt>
                <c:pt idx="207">
                  <c:v>0</c:v>
                </c:pt>
                <c:pt idx="208">
                  <c:v>2.6378086181058332E-3</c:v>
                </c:pt>
                <c:pt idx="209">
                  <c:v>2.6389762475575672E-3</c:v>
                </c:pt>
                <c:pt idx="210">
                  <c:v>2.6401096035667741E-3</c:v>
                </c:pt>
                <c:pt idx="211">
                  <c:v>2.6417156616526634E-3</c:v>
                </c:pt>
                <c:pt idx="212">
                  <c:v>2.6429957794751298E-3</c:v>
                </c:pt>
                <c:pt idx="213">
                  <c:v>0</c:v>
                </c:pt>
                <c:pt idx="214">
                  <c:v>2.6494718983760923E-3</c:v>
                </c:pt>
                <c:pt idx="215">
                  <c:v>2.653457049898294E-3</c:v>
                </c:pt>
                <c:pt idx="216">
                  <c:v>2.6601287756600014E-3</c:v>
                </c:pt>
                <c:pt idx="217">
                  <c:v>2.6835347077650692E-3</c:v>
                </c:pt>
                <c:pt idx="218">
                  <c:v>0</c:v>
                </c:pt>
                <c:pt idx="219">
                  <c:v>2.7208944814352924E-3</c:v>
                </c:pt>
                <c:pt idx="220">
                  <c:v>2.725307955689859E-3</c:v>
                </c:pt>
                <c:pt idx="221">
                  <c:v>2.7303822512600271E-3</c:v>
                </c:pt>
                <c:pt idx="222">
                  <c:v>2.7307355271565044E-3</c:v>
                </c:pt>
                <c:pt idx="223">
                  <c:v>2.7480806673049348E-3</c:v>
                </c:pt>
                <c:pt idx="224">
                  <c:v>2.7761239113848297E-3</c:v>
                </c:pt>
                <c:pt idx="225">
                  <c:v>2.7864638484302023E-3</c:v>
                </c:pt>
                <c:pt idx="226">
                  <c:v>2.792377246980355E-3</c:v>
                </c:pt>
                <c:pt idx="227">
                  <c:v>2.8150231905346218E-3</c:v>
                </c:pt>
                <c:pt idx="228">
                  <c:v>2.8323309777278441E-3</c:v>
                </c:pt>
                <c:pt idx="229">
                  <c:v>2.8580620112180284E-3</c:v>
                </c:pt>
                <c:pt idx="230">
                  <c:v>2.865419802090827E-3</c:v>
                </c:pt>
                <c:pt idx="231">
                  <c:v>2.8934936228176581E-3</c:v>
                </c:pt>
                <c:pt idx="232">
                  <c:v>2.8963557672214428E-3</c:v>
                </c:pt>
                <c:pt idx="233">
                  <c:v>2.9008804635318468E-3</c:v>
                </c:pt>
                <c:pt idx="234">
                  <c:v>2.9016631155080524E-3</c:v>
                </c:pt>
                <c:pt idx="235">
                  <c:v>2.9032742257262337E-3</c:v>
                </c:pt>
                <c:pt idx="236">
                  <c:v>2.9104269298418435E-3</c:v>
                </c:pt>
                <c:pt idx="237">
                  <c:v>2.9160384855683335E-3</c:v>
                </c:pt>
                <c:pt idx="238">
                  <c:v>0</c:v>
                </c:pt>
                <c:pt idx="239">
                  <c:v>2.9348477377731147E-3</c:v>
                </c:pt>
                <c:pt idx="240">
                  <c:v>2.9737919502686736E-3</c:v>
                </c:pt>
                <c:pt idx="241">
                  <c:v>2.9880925010278129E-3</c:v>
                </c:pt>
                <c:pt idx="242">
                  <c:v>3.0189240917434766E-3</c:v>
                </c:pt>
                <c:pt idx="243">
                  <c:v>3.0236785211344278E-3</c:v>
                </c:pt>
                <c:pt idx="244">
                  <c:v>3.0515589905929078E-3</c:v>
                </c:pt>
                <c:pt idx="245">
                  <c:v>3.0585135015958114E-3</c:v>
                </c:pt>
                <c:pt idx="246">
                  <c:v>3.0610274054464768E-3</c:v>
                </c:pt>
                <c:pt idx="247">
                  <c:v>3.0618972774307312E-3</c:v>
                </c:pt>
                <c:pt idx="248">
                  <c:v>3.0643613262369149E-3</c:v>
                </c:pt>
                <c:pt idx="249">
                  <c:v>3.0676483832433156E-3</c:v>
                </c:pt>
                <c:pt idx="250">
                  <c:v>0</c:v>
                </c:pt>
                <c:pt idx="251">
                  <c:v>3.10377265382607E-3</c:v>
                </c:pt>
                <c:pt idx="252">
                  <c:v>3.1078805280676646E-3</c:v>
                </c:pt>
                <c:pt idx="253">
                  <c:v>3.1095249281410864E-3</c:v>
                </c:pt>
                <c:pt idx="254">
                  <c:v>3.1185774773575215E-3</c:v>
                </c:pt>
                <c:pt idx="255">
                  <c:v>3.1217545121812349E-3</c:v>
                </c:pt>
                <c:pt idx="256">
                  <c:v>3.1231709879123945E-3</c:v>
                </c:pt>
                <c:pt idx="257">
                  <c:v>3.1513940222331412E-3</c:v>
                </c:pt>
                <c:pt idx="258">
                  <c:v>0</c:v>
                </c:pt>
                <c:pt idx="259">
                  <c:v>3.1668596496089601E-3</c:v>
                </c:pt>
                <c:pt idx="260">
                  <c:v>3.1714662173198977E-3</c:v>
                </c:pt>
                <c:pt idx="261">
                  <c:v>0</c:v>
                </c:pt>
                <c:pt idx="262">
                  <c:v>3.2217683381362172E-3</c:v>
                </c:pt>
                <c:pt idx="263">
                  <c:v>3.2282285694358072E-3</c:v>
                </c:pt>
                <c:pt idx="264">
                  <c:v>3.236613153060279E-3</c:v>
                </c:pt>
                <c:pt idx="265">
                  <c:v>3.2478581872114639E-3</c:v>
                </c:pt>
                <c:pt idx="266">
                  <c:v>3.2486106637564516E-3</c:v>
                </c:pt>
                <c:pt idx="267">
                  <c:v>3.2568842373240656E-3</c:v>
                </c:pt>
                <c:pt idx="268">
                  <c:v>3.2959402129401514E-3</c:v>
                </c:pt>
                <c:pt idx="269">
                  <c:v>3.3208025651322417E-3</c:v>
                </c:pt>
                <c:pt idx="270">
                  <c:v>3.3236279887771765E-3</c:v>
                </c:pt>
                <c:pt idx="271">
                  <c:v>3.3274450448878912E-3</c:v>
                </c:pt>
                <c:pt idx="272">
                  <c:v>3.348155136550048E-3</c:v>
                </c:pt>
                <c:pt idx="273">
                  <c:v>3.3712652339192108E-3</c:v>
                </c:pt>
                <c:pt idx="274">
                  <c:v>3.3758967535657612E-3</c:v>
                </c:pt>
                <c:pt idx="275">
                  <c:v>3.3874243758534911E-3</c:v>
                </c:pt>
                <c:pt idx="276">
                  <c:v>3.4178685729920328E-3</c:v>
                </c:pt>
                <c:pt idx="277">
                  <c:v>3.4234040499345792E-3</c:v>
                </c:pt>
                <c:pt idx="278">
                  <c:v>3.4973214561040125E-3</c:v>
                </c:pt>
                <c:pt idx="279">
                  <c:v>3.5105801229911577E-3</c:v>
                </c:pt>
                <c:pt idx="280">
                  <c:v>3.5375036298692748E-3</c:v>
                </c:pt>
                <c:pt idx="281">
                  <c:v>3.5546512806574706E-3</c:v>
                </c:pt>
                <c:pt idx="282">
                  <c:v>3.5633214020765608E-3</c:v>
                </c:pt>
                <c:pt idx="283">
                  <c:v>3.5781901680018648E-3</c:v>
                </c:pt>
                <c:pt idx="284">
                  <c:v>3.6256718752470021E-3</c:v>
                </c:pt>
                <c:pt idx="285">
                  <c:v>3.6298384420771963E-3</c:v>
                </c:pt>
                <c:pt idx="286">
                  <c:v>3.6723337171780243E-3</c:v>
                </c:pt>
                <c:pt idx="287">
                  <c:v>3.672753053310056E-3</c:v>
                </c:pt>
                <c:pt idx="288">
                  <c:v>3.7032746862333101E-3</c:v>
                </c:pt>
                <c:pt idx="289">
                  <c:v>3.7358660447602654E-3</c:v>
                </c:pt>
                <c:pt idx="290">
                  <c:v>3.7407505314937216E-3</c:v>
                </c:pt>
                <c:pt idx="291">
                  <c:v>3.7781466713507615E-3</c:v>
                </c:pt>
                <c:pt idx="292">
                  <c:v>3.77925437201179E-3</c:v>
                </c:pt>
                <c:pt idx="293">
                  <c:v>0</c:v>
                </c:pt>
                <c:pt idx="294">
                  <c:v>3.7981052339118135E-3</c:v>
                </c:pt>
                <c:pt idx="295">
                  <c:v>3.8207749096923209E-3</c:v>
                </c:pt>
                <c:pt idx="296">
                  <c:v>3.831122482368372E-3</c:v>
                </c:pt>
                <c:pt idx="297">
                  <c:v>3.8416208397181735E-3</c:v>
                </c:pt>
                <c:pt idx="298">
                  <c:v>3.8936673372390374E-3</c:v>
                </c:pt>
                <c:pt idx="299">
                  <c:v>3.9455847749456695E-3</c:v>
                </c:pt>
                <c:pt idx="300">
                  <c:v>3.9516974461742205E-3</c:v>
                </c:pt>
                <c:pt idx="301">
                  <c:v>4.1117428813497699E-3</c:v>
                </c:pt>
                <c:pt idx="302">
                  <c:v>4.1326157852906538E-3</c:v>
                </c:pt>
                <c:pt idx="303">
                  <c:v>4.2814667046683942E-3</c:v>
                </c:pt>
                <c:pt idx="304">
                  <c:v>4.2980847973407114E-3</c:v>
                </c:pt>
                <c:pt idx="305">
                  <c:v>4.3815986656415675E-3</c:v>
                </c:pt>
                <c:pt idx="306">
                  <c:v>4.4328193260136876E-3</c:v>
                </c:pt>
                <c:pt idx="307">
                  <c:v>4.435696153336552E-3</c:v>
                </c:pt>
                <c:pt idx="308">
                  <c:v>4.4583504166729737E-3</c:v>
                </c:pt>
                <c:pt idx="309">
                  <c:v>4.4623992750212529E-3</c:v>
                </c:pt>
                <c:pt idx="310">
                  <c:v>4.4677941480891674E-3</c:v>
                </c:pt>
                <c:pt idx="311">
                  <c:v>4.5844633766250415E-3</c:v>
                </c:pt>
                <c:pt idx="312">
                  <c:v>4.731193035183357E-3</c:v>
                </c:pt>
                <c:pt idx="313">
                  <c:v>4.8041761853393379E-3</c:v>
                </c:pt>
                <c:pt idx="314">
                  <c:v>4.9213506275305012E-3</c:v>
                </c:pt>
                <c:pt idx="315">
                  <c:v>5.1183164604193306E-3</c:v>
                </c:pt>
                <c:pt idx="316">
                  <c:v>5.1415051848794132E-3</c:v>
                </c:pt>
                <c:pt idx="317">
                  <c:v>5.3972123654163597E-3</c:v>
                </c:pt>
                <c:pt idx="318">
                  <c:v>5.4339934288620108E-3</c:v>
                </c:pt>
                <c:pt idx="319">
                  <c:v>5.4424048065863121E-3</c:v>
                </c:pt>
                <c:pt idx="320">
                  <c:v>5.5485612291306012E-3</c:v>
                </c:pt>
                <c:pt idx="321">
                  <c:v>6.2460284415908644E-3</c:v>
                </c:pt>
                <c:pt idx="322">
                  <c:v>6.3302726032501257E-3</c:v>
                </c:pt>
                <c:pt idx="323">
                  <c:v>7.1210487627590014E-3</c:v>
                </c:pt>
                <c:pt idx="324">
                  <c:v>7.4159722951782558E-3</c:v>
                </c:pt>
                <c:pt idx="325">
                  <c:v>1.1822398741018836E-2</c:v>
                </c:pt>
              </c:numCache>
            </c:numRef>
          </c:val>
        </c:ser>
        <c:ser>
          <c:idx val="1"/>
          <c:order val="1"/>
          <c:tx>
            <c:strRef>
              <c:f>Sheet1!$F$2</c:f>
              <c:strCache>
                <c:ptCount val="1"/>
                <c:pt idx="0">
                  <c:v>no2</c:v>
                </c:pt>
              </c:strCache>
            </c:strRef>
          </c:tx>
          <c:invertIfNegative val="0"/>
          <c:val>
            <c:numRef>
              <c:f>Sheet1!$F$3:$F$328</c:f>
              <c:numCache>
                <c:formatCode>0.00%</c:formatCode>
                <c:ptCount val="326"/>
                <c:pt idx="0">
                  <c:v>0</c:v>
                </c:pt>
                <c:pt idx="1">
                  <c:v>0</c:v>
                </c:pt>
                <c:pt idx="2">
                  <c:v>0</c:v>
                </c:pt>
                <c:pt idx="3">
                  <c:v>8.2883665993596016E-4</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1.2039690185819206E-3</c:v>
                </c:pt>
                <c:pt idx="24">
                  <c:v>0</c:v>
                </c:pt>
                <c:pt idx="25">
                  <c:v>1.2359392903350652E-3</c:v>
                </c:pt>
                <c:pt idx="26">
                  <c:v>0</c:v>
                </c:pt>
                <c:pt idx="27">
                  <c:v>0</c:v>
                </c:pt>
                <c:pt idx="28">
                  <c:v>0</c:v>
                </c:pt>
                <c:pt idx="29">
                  <c:v>0</c:v>
                </c:pt>
                <c:pt idx="30">
                  <c:v>0</c:v>
                </c:pt>
                <c:pt idx="31">
                  <c:v>0</c:v>
                </c:pt>
                <c:pt idx="32">
                  <c:v>0</c:v>
                </c:pt>
                <c:pt idx="33">
                  <c:v>0</c:v>
                </c:pt>
                <c:pt idx="34">
                  <c:v>1.4471102807252978E-3</c:v>
                </c:pt>
                <c:pt idx="35">
                  <c:v>0</c:v>
                </c:pt>
                <c:pt idx="36">
                  <c:v>0</c:v>
                </c:pt>
                <c:pt idx="37">
                  <c:v>0</c:v>
                </c:pt>
                <c:pt idx="38">
                  <c:v>1.4593367892266765E-3</c:v>
                </c:pt>
                <c:pt idx="39">
                  <c:v>0</c:v>
                </c:pt>
                <c:pt idx="40">
                  <c:v>0</c:v>
                </c:pt>
                <c:pt idx="41">
                  <c:v>0</c:v>
                </c:pt>
                <c:pt idx="42">
                  <c:v>0</c:v>
                </c:pt>
                <c:pt idx="43">
                  <c:v>0</c:v>
                </c:pt>
                <c:pt idx="44">
                  <c:v>1.5183218127545451E-3</c:v>
                </c:pt>
                <c:pt idx="45">
                  <c:v>1.5236553340830029E-3</c:v>
                </c:pt>
                <c:pt idx="46">
                  <c:v>0</c:v>
                </c:pt>
                <c:pt idx="47">
                  <c:v>1.5279831674140996E-3</c:v>
                </c:pt>
                <c:pt idx="48">
                  <c:v>0</c:v>
                </c:pt>
                <c:pt idx="49">
                  <c:v>0</c:v>
                </c:pt>
                <c:pt idx="50">
                  <c:v>0</c:v>
                </c:pt>
                <c:pt idx="51">
                  <c:v>0</c:v>
                </c:pt>
                <c:pt idx="52">
                  <c:v>1.5775407080829927E-3</c:v>
                </c:pt>
                <c:pt idx="53">
                  <c:v>0</c:v>
                </c:pt>
                <c:pt idx="54">
                  <c:v>0</c:v>
                </c:pt>
                <c:pt idx="55">
                  <c:v>0</c:v>
                </c:pt>
                <c:pt idx="56">
                  <c:v>0</c:v>
                </c:pt>
                <c:pt idx="57">
                  <c:v>0</c:v>
                </c:pt>
                <c:pt idx="58">
                  <c:v>0</c:v>
                </c:pt>
                <c:pt idx="59">
                  <c:v>0</c:v>
                </c:pt>
                <c:pt idx="60">
                  <c:v>1.6222223700899884E-3</c:v>
                </c:pt>
                <c:pt idx="61">
                  <c:v>0</c:v>
                </c:pt>
                <c:pt idx="62">
                  <c:v>0</c:v>
                </c:pt>
                <c:pt idx="63">
                  <c:v>0</c:v>
                </c:pt>
                <c:pt idx="64">
                  <c:v>0</c:v>
                </c:pt>
                <c:pt idx="65">
                  <c:v>0</c:v>
                </c:pt>
                <c:pt idx="66">
                  <c:v>1.6933121770612923E-3</c:v>
                </c:pt>
                <c:pt idx="67">
                  <c:v>0</c:v>
                </c:pt>
                <c:pt idx="68">
                  <c:v>0</c:v>
                </c:pt>
                <c:pt idx="69">
                  <c:v>0</c:v>
                </c:pt>
                <c:pt idx="70">
                  <c:v>0</c:v>
                </c:pt>
                <c:pt idx="71">
                  <c:v>0</c:v>
                </c:pt>
                <c:pt idx="72">
                  <c:v>0</c:v>
                </c:pt>
                <c:pt idx="73">
                  <c:v>0</c:v>
                </c:pt>
                <c:pt idx="74">
                  <c:v>0</c:v>
                </c:pt>
                <c:pt idx="75">
                  <c:v>1.7168507925822954E-3</c:v>
                </c:pt>
                <c:pt idx="76">
                  <c:v>0</c:v>
                </c:pt>
                <c:pt idx="77">
                  <c:v>0</c:v>
                </c:pt>
                <c:pt idx="78">
                  <c:v>0</c:v>
                </c:pt>
                <c:pt idx="79">
                  <c:v>0</c:v>
                </c:pt>
                <c:pt idx="80">
                  <c:v>1.7406035204263063E-3</c:v>
                </c:pt>
                <c:pt idx="81">
                  <c:v>0</c:v>
                </c:pt>
                <c:pt idx="82">
                  <c:v>0</c:v>
                </c:pt>
                <c:pt idx="83">
                  <c:v>1.7814034314995379E-3</c:v>
                </c:pt>
                <c:pt idx="84">
                  <c:v>0</c:v>
                </c:pt>
                <c:pt idx="85">
                  <c:v>1.7852456553086153E-3</c:v>
                </c:pt>
                <c:pt idx="86">
                  <c:v>0</c:v>
                </c:pt>
                <c:pt idx="87">
                  <c:v>0</c:v>
                </c:pt>
                <c:pt idx="88">
                  <c:v>0</c:v>
                </c:pt>
                <c:pt idx="89">
                  <c:v>0</c:v>
                </c:pt>
                <c:pt idx="90">
                  <c:v>0</c:v>
                </c:pt>
                <c:pt idx="91">
                  <c:v>0</c:v>
                </c:pt>
                <c:pt idx="92">
                  <c:v>0</c:v>
                </c:pt>
                <c:pt idx="93">
                  <c:v>0</c:v>
                </c:pt>
                <c:pt idx="94">
                  <c:v>1.8414996996038498E-3</c:v>
                </c:pt>
                <c:pt idx="95">
                  <c:v>0</c:v>
                </c:pt>
                <c:pt idx="96">
                  <c:v>0</c:v>
                </c:pt>
                <c:pt idx="97">
                  <c:v>0</c:v>
                </c:pt>
                <c:pt idx="98">
                  <c:v>1.8544080257535281E-3</c:v>
                </c:pt>
                <c:pt idx="99">
                  <c:v>0</c:v>
                </c:pt>
                <c:pt idx="100">
                  <c:v>1.8682468466430032E-3</c:v>
                </c:pt>
                <c:pt idx="101">
                  <c:v>0</c:v>
                </c:pt>
                <c:pt idx="102">
                  <c:v>0</c:v>
                </c:pt>
                <c:pt idx="103">
                  <c:v>0</c:v>
                </c:pt>
                <c:pt idx="104">
                  <c:v>0</c:v>
                </c:pt>
                <c:pt idx="105">
                  <c:v>0</c:v>
                </c:pt>
                <c:pt idx="106">
                  <c:v>0</c:v>
                </c:pt>
                <c:pt idx="107">
                  <c:v>0</c:v>
                </c:pt>
                <c:pt idx="108">
                  <c:v>0</c:v>
                </c:pt>
                <c:pt idx="109">
                  <c:v>0</c:v>
                </c:pt>
                <c:pt idx="110">
                  <c:v>0</c:v>
                </c:pt>
                <c:pt idx="111">
                  <c:v>0</c:v>
                </c:pt>
                <c:pt idx="112">
                  <c:v>1.9562047532222845E-3</c:v>
                </c:pt>
                <c:pt idx="113">
                  <c:v>0</c:v>
                </c:pt>
                <c:pt idx="114">
                  <c:v>0</c:v>
                </c:pt>
                <c:pt idx="115">
                  <c:v>1.9843499897450184E-3</c:v>
                </c:pt>
                <c:pt idx="116">
                  <c:v>0</c:v>
                </c:pt>
                <c:pt idx="117">
                  <c:v>2.0122189433175756E-3</c:v>
                </c:pt>
                <c:pt idx="118">
                  <c:v>2.0281273272744816E-3</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2.1455725760815411E-3</c:v>
                </c:pt>
                <c:pt idx="137">
                  <c:v>0</c:v>
                </c:pt>
                <c:pt idx="138">
                  <c:v>0</c:v>
                </c:pt>
                <c:pt idx="139">
                  <c:v>0</c:v>
                </c:pt>
                <c:pt idx="140">
                  <c:v>0</c:v>
                </c:pt>
                <c:pt idx="141">
                  <c:v>0</c:v>
                </c:pt>
                <c:pt idx="142">
                  <c:v>0</c:v>
                </c:pt>
                <c:pt idx="143">
                  <c:v>0</c:v>
                </c:pt>
                <c:pt idx="144">
                  <c:v>0</c:v>
                </c:pt>
                <c:pt idx="145">
                  <c:v>2.2067523463940824E-3</c:v>
                </c:pt>
                <c:pt idx="146">
                  <c:v>0</c:v>
                </c:pt>
                <c:pt idx="147">
                  <c:v>2.2341328413340352E-3</c:v>
                </c:pt>
                <c:pt idx="148">
                  <c:v>0</c:v>
                </c:pt>
                <c:pt idx="149">
                  <c:v>2.2386113410327712E-3</c:v>
                </c:pt>
                <c:pt idx="150">
                  <c:v>0</c:v>
                </c:pt>
                <c:pt idx="151">
                  <c:v>0</c:v>
                </c:pt>
                <c:pt idx="152">
                  <c:v>0</c:v>
                </c:pt>
                <c:pt idx="153">
                  <c:v>0</c:v>
                </c:pt>
                <c:pt idx="154">
                  <c:v>2.2593397206739458E-3</c:v>
                </c:pt>
                <c:pt idx="155">
                  <c:v>0</c:v>
                </c:pt>
                <c:pt idx="156">
                  <c:v>0</c:v>
                </c:pt>
                <c:pt idx="157">
                  <c:v>0</c:v>
                </c:pt>
                <c:pt idx="158">
                  <c:v>0</c:v>
                </c:pt>
                <c:pt idx="159">
                  <c:v>0</c:v>
                </c:pt>
                <c:pt idx="160">
                  <c:v>0</c:v>
                </c:pt>
                <c:pt idx="161">
                  <c:v>0</c:v>
                </c:pt>
                <c:pt idx="162">
                  <c:v>2.3319413635144353E-3</c:v>
                </c:pt>
                <c:pt idx="163">
                  <c:v>0</c:v>
                </c:pt>
                <c:pt idx="164">
                  <c:v>2.3364521568599666E-3</c:v>
                </c:pt>
                <c:pt idx="165">
                  <c:v>0</c:v>
                </c:pt>
                <c:pt idx="166">
                  <c:v>2.3532569894958127E-3</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2.4293798223885767E-3</c:v>
                </c:pt>
                <c:pt idx="181">
                  <c:v>0</c:v>
                </c:pt>
                <c:pt idx="182">
                  <c:v>0</c:v>
                </c:pt>
                <c:pt idx="183">
                  <c:v>0</c:v>
                </c:pt>
                <c:pt idx="184">
                  <c:v>2.4600333528948812E-3</c:v>
                </c:pt>
                <c:pt idx="185">
                  <c:v>0</c:v>
                </c:pt>
                <c:pt idx="186">
                  <c:v>0</c:v>
                </c:pt>
                <c:pt idx="187">
                  <c:v>0</c:v>
                </c:pt>
                <c:pt idx="188">
                  <c:v>0</c:v>
                </c:pt>
                <c:pt idx="189">
                  <c:v>0</c:v>
                </c:pt>
                <c:pt idx="190">
                  <c:v>2.5018790558588564E-3</c:v>
                </c:pt>
                <c:pt idx="191">
                  <c:v>2.5031086938099743E-3</c:v>
                </c:pt>
                <c:pt idx="192">
                  <c:v>0</c:v>
                </c:pt>
                <c:pt idx="193">
                  <c:v>0</c:v>
                </c:pt>
                <c:pt idx="194">
                  <c:v>0</c:v>
                </c:pt>
                <c:pt idx="195">
                  <c:v>0</c:v>
                </c:pt>
                <c:pt idx="196">
                  <c:v>0</c:v>
                </c:pt>
                <c:pt idx="197">
                  <c:v>2.5410997850142183E-3</c:v>
                </c:pt>
                <c:pt idx="198">
                  <c:v>0</c:v>
                </c:pt>
                <c:pt idx="199">
                  <c:v>2.566088874369979E-3</c:v>
                </c:pt>
                <c:pt idx="200">
                  <c:v>0</c:v>
                </c:pt>
                <c:pt idx="201">
                  <c:v>0</c:v>
                </c:pt>
                <c:pt idx="202">
                  <c:v>0</c:v>
                </c:pt>
                <c:pt idx="203">
                  <c:v>2.6007059815731132E-3</c:v>
                </c:pt>
                <c:pt idx="204">
                  <c:v>0</c:v>
                </c:pt>
                <c:pt idx="205">
                  <c:v>0</c:v>
                </c:pt>
                <c:pt idx="206">
                  <c:v>0</c:v>
                </c:pt>
                <c:pt idx="207">
                  <c:v>2.626532636098185E-3</c:v>
                </c:pt>
                <c:pt idx="208">
                  <c:v>0</c:v>
                </c:pt>
                <c:pt idx="209">
                  <c:v>0</c:v>
                </c:pt>
                <c:pt idx="210">
                  <c:v>0</c:v>
                </c:pt>
                <c:pt idx="211">
                  <c:v>0</c:v>
                </c:pt>
                <c:pt idx="212">
                  <c:v>0</c:v>
                </c:pt>
                <c:pt idx="213">
                  <c:v>2.6435165868644566E-3</c:v>
                </c:pt>
                <c:pt idx="214">
                  <c:v>0</c:v>
                </c:pt>
                <c:pt idx="215">
                  <c:v>0</c:v>
                </c:pt>
                <c:pt idx="216">
                  <c:v>0</c:v>
                </c:pt>
                <c:pt idx="217">
                  <c:v>0</c:v>
                </c:pt>
                <c:pt idx="218">
                  <c:v>2.6838642693203544E-3</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2.9311849599155319E-3</c:v>
                </c:pt>
                <c:pt idx="239">
                  <c:v>0</c:v>
                </c:pt>
                <c:pt idx="240">
                  <c:v>0</c:v>
                </c:pt>
                <c:pt idx="241">
                  <c:v>0</c:v>
                </c:pt>
                <c:pt idx="242">
                  <c:v>0</c:v>
                </c:pt>
                <c:pt idx="243">
                  <c:v>0</c:v>
                </c:pt>
                <c:pt idx="244">
                  <c:v>0</c:v>
                </c:pt>
                <c:pt idx="245">
                  <c:v>0</c:v>
                </c:pt>
                <c:pt idx="246">
                  <c:v>0</c:v>
                </c:pt>
                <c:pt idx="247">
                  <c:v>0</c:v>
                </c:pt>
                <c:pt idx="248">
                  <c:v>0</c:v>
                </c:pt>
                <c:pt idx="249">
                  <c:v>0</c:v>
                </c:pt>
                <c:pt idx="250">
                  <c:v>3.0858896656969651E-3</c:v>
                </c:pt>
                <c:pt idx="251">
                  <c:v>0</c:v>
                </c:pt>
                <c:pt idx="252">
                  <c:v>0</c:v>
                </c:pt>
                <c:pt idx="253">
                  <c:v>0</c:v>
                </c:pt>
                <c:pt idx="254">
                  <c:v>0</c:v>
                </c:pt>
                <c:pt idx="255">
                  <c:v>0</c:v>
                </c:pt>
                <c:pt idx="256">
                  <c:v>0</c:v>
                </c:pt>
                <c:pt idx="257">
                  <c:v>0</c:v>
                </c:pt>
                <c:pt idx="258">
                  <c:v>3.1554112839620994E-3</c:v>
                </c:pt>
                <c:pt idx="259">
                  <c:v>0</c:v>
                </c:pt>
                <c:pt idx="260">
                  <c:v>0</c:v>
                </c:pt>
                <c:pt idx="261">
                  <c:v>3.1938637003544263E-3</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3.7798432989175775E-3</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numCache>
            </c:numRef>
          </c:val>
        </c:ser>
        <c:dLbls>
          <c:showLegendKey val="0"/>
          <c:showVal val="0"/>
          <c:showCatName val="0"/>
          <c:showSerName val="0"/>
          <c:showPercent val="0"/>
          <c:showBubbleSize val="0"/>
        </c:dLbls>
        <c:gapWidth val="0"/>
        <c:overlap val="100"/>
        <c:axId val="157424256"/>
        <c:axId val="46281088"/>
      </c:barChart>
      <c:catAx>
        <c:axId val="157424256"/>
        <c:scaling>
          <c:orientation val="minMax"/>
        </c:scaling>
        <c:delete val="1"/>
        <c:axPos val="b"/>
        <c:majorTickMark val="out"/>
        <c:minorTickMark val="none"/>
        <c:tickLblPos val="nextTo"/>
        <c:crossAx val="46281088"/>
        <c:crosses val="autoZero"/>
        <c:auto val="1"/>
        <c:lblAlgn val="ctr"/>
        <c:lblOffset val="100"/>
        <c:noMultiLvlLbl val="0"/>
      </c:catAx>
      <c:valAx>
        <c:axId val="46281088"/>
        <c:scaling>
          <c:orientation val="minMax"/>
        </c:scaling>
        <c:delete val="0"/>
        <c:axPos val="l"/>
        <c:majorGridlines/>
        <c:numFmt formatCode="0.00%" sourceLinked="1"/>
        <c:majorTickMark val="out"/>
        <c:minorTickMark val="none"/>
        <c:tickLblPos val="nextTo"/>
        <c:crossAx val="157424256"/>
        <c:crosses val="autoZero"/>
        <c:crossBetween val="between"/>
        <c:majorUnit val="2.5000000000000005E-3"/>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1AADF7-33FA-45F7-9A7E-849D6DE7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3</cp:revision>
  <cp:lastPrinted>2016-03-10T15:03:00Z</cp:lastPrinted>
  <dcterms:created xsi:type="dcterms:W3CDTF">2016-03-10T15:05:00Z</dcterms:created>
  <dcterms:modified xsi:type="dcterms:W3CDTF">2016-03-10T15:11:00Z</dcterms:modified>
</cp:coreProperties>
</file>