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D95" w:rsidRDefault="003F7565">
      <w:r>
        <w:rPr>
          <w:noProof/>
        </w:rPr>
        <mc:AlternateContent>
          <mc:Choice Requires="wps">
            <w:drawing>
              <wp:anchor distT="0" distB="0" distL="114300" distR="114300" simplePos="0" relativeHeight="251668480" behindDoc="0" locked="0" layoutInCell="1" allowOverlap="1">
                <wp:simplePos x="0" y="0"/>
                <wp:positionH relativeFrom="column">
                  <wp:posOffset>3200400</wp:posOffset>
                </wp:positionH>
                <wp:positionV relativeFrom="paragraph">
                  <wp:posOffset>-59055</wp:posOffset>
                </wp:positionV>
                <wp:extent cx="2886075" cy="904875"/>
                <wp:effectExtent l="0" t="0" r="0" b="190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904875"/>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24A5" w:rsidRPr="00763F16" w:rsidRDefault="007B24A5">
                            <w:pPr>
                              <w:rPr>
                                <w:color w:val="FFFFFF" w:themeColor="background1"/>
                              </w:rPr>
                            </w:pPr>
                            <w:r w:rsidRPr="00763F16">
                              <w:rPr>
                                <w:rFonts w:asciiTheme="minorHAnsi" w:hAnsiTheme="minorHAnsi" w:cstheme="minorHAnsi"/>
                                <w:color w:val="FFFFFF" w:themeColor="background1"/>
                              </w:rPr>
                              <w:t>The special Interest Group of Municipal Authorities (outside London) within the LGA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52pt;margin-top:-4.65pt;width:227.2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" fillcolor="#365f91 [2404]" stroked="f">
                <v:textbox>
                  <w:txbxContent>
                    <w:p w:rsidR="007B24A5" w:rsidRPr="00763F16" w:rsidRDefault="007B24A5">
                      <w:pPr>
                        <w:rPr>
                          <w:color w:val="FFFFFF" w:themeColor="background1"/>
                        </w:rPr>
                      </w:pPr>
                      <w:r w:rsidRPr="00763F16">
                        <w:rPr>
                          <w:rFonts w:asciiTheme="minorHAnsi" w:hAnsiTheme="minorHAnsi" w:cstheme="minorHAnsi"/>
                          <w:color w:val="FFFFFF" w:themeColor="background1"/>
                        </w:rPr>
                        <w:t>The special Interest Group of Municipal Authorities (outside London) within the LGA</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-47625</wp:posOffset>
                </wp:positionH>
                <wp:positionV relativeFrom="paragraph">
                  <wp:posOffset>-201930</wp:posOffset>
                </wp:positionV>
                <wp:extent cx="6629400" cy="1685925"/>
                <wp:effectExtent l="9525" t="17145" r="1905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685925"/>
                        </a:xfrm>
                        <a:prstGeom prst="roundRect">
                          <a:avLst>
                            <a:gd name="adj" fmla="val 16667"/>
                          </a:avLst>
                        </a:prstGeom>
                        <a:solidFill>
                          <a:schemeClr val="accent1">
                            <a:lumMod val="75000"/>
                            <a:lumOff val="0"/>
                          </a:schemeClr>
                        </a:solidFill>
                        <a:ln w="19050">
                          <a:solidFill>
                            <a:srgbClr val="FF0000"/>
                          </a:solidFill>
                          <a:round/>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7B24A5" w:rsidRDefault="007B24A5" w:rsidP="002A5F4B">
                            <w:pPr>
                              <w:spacing w:before="100" w:beforeAutospacing="1" w:after="240"/>
                              <w:rPr>
                                <w:i/>
                                <w:color w:val="FFFFFF" w:themeColor="background1"/>
                                <w:sz w:val="96"/>
                              </w:rPr>
                            </w:pPr>
                            <w:r w:rsidRPr="00B45D95">
                              <w:rPr>
                                <w:i/>
                                <w:color w:val="FFFFFF" w:themeColor="background1"/>
                                <w:sz w:val="96"/>
                              </w:rPr>
                              <w:t>SIGOMA</w:t>
                            </w:r>
                          </w:p>
                          <w:p w:rsidR="007B24A5" w:rsidRPr="00A3143D" w:rsidRDefault="008B3456" w:rsidP="00763F16">
                            <w:pPr>
                              <w:spacing w:before="480"/>
                              <w:rPr>
                                <w:rFonts w:ascii="Arial Black" w:hAnsi="Arial Black" w:cs="Arial"/>
                                <w:color w:val="FFFFFF" w:themeColor="background1"/>
                                <w:sz w:val="30"/>
                                <w:szCs w:val="30"/>
                              </w:rPr>
                            </w:pPr>
                            <w:r>
                              <w:rPr>
                                <w:rFonts w:ascii="Arial Black" w:hAnsi="Arial Black" w:cs="Arial"/>
                                <w:color w:val="FFFFFF" w:themeColor="background1"/>
                                <w:sz w:val="30"/>
                                <w:szCs w:val="30"/>
                              </w:rPr>
                              <w:t>March</w:t>
                            </w:r>
                            <w:r w:rsidR="009D2453" w:rsidRPr="00A3143D">
                              <w:rPr>
                                <w:rFonts w:ascii="Arial Black" w:hAnsi="Arial Black" w:cs="Arial"/>
                                <w:color w:val="FFFFFF" w:themeColor="background1"/>
                                <w:sz w:val="30"/>
                                <w:szCs w:val="30"/>
                              </w:rPr>
                              <w:t xml:space="preserve"> </w:t>
                            </w:r>
                            <w:r>
                              <w:rPr>
                                <w:rFonts w:ascii="Arial Black" w:hAnsi="Arial Black" w:cs="Arial"/>
                                <w:color w:val="FFFFFF" w:themeColor="background1"/>
                                <w:sz w:val="30"/>
                                <w:szCs w:val="30"/>
                              </w:rPr>
                              <w:t>2016</w:t>
                            </w:r>
                            <w:r w:rsidR="007B24A5" w:rsidRPr="00A3143D">
                              <w:rPr>
                                <w:rFonts w:ascii="Arial Black" w:hAnsi="Arial Black" w:cs="Arial"/>
                                <w:color w:val="FFFFFF" w:themeColor="background1"/>
                                <w:sz w:val="30"/>
                                <w:szCs w:val="30"/>
                              </w:rPr>
                              <w:t xml:space="preserve"> Budget</w:t>
                            </w:r>
                            <w:r w:rsidR="00A3143D">
                              <w:rPr>
                                <w:rFonts w:ascii="Arial Black" w:hAnsi="Arial Black" w:cs="Arial"/>
                                <w:color w:val="FFFFFF" w:themeColor="background1"/>
                                <w:sz w:val="30"/>
                                <w:szCs w:val="30"/>
                              </w:rPr>
                              <w:t>.</w:t>
                            </w:r>
                            <w:r w:rsidR="00A3143D" w:rsidRPr="00A3143D">
                              <w:rPr>
                                <w:rFonts w:ascii="Arial Black" w:hAnsi="Arial Black" w:cs="Arial"/>
                                <w:color w:val="FFFFFF" w:themeColor="background1"/>
                                <w:sz w:val="30"/>
                                <w:szCs w:val="30"/>
                              </w:rPr>
                              <w:t xml:space="preserve"> Local Authority Finance Briefing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3.75pt;margin-top:-15.9pt;width:522pt;height:1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" fillcolor="#365f91 [2404]" strokecolor="red" strokeweight="1.5pt">
                <v:shadow color="#243f60 [1604]" opacity=".5" offset="1pt"/>
                <v:textbox>
                  <w:txbxContent>
                    <w:p w:rsidR="007B24A5" w:rsidRDefault="007B24A5" w:rsidP="002A5F4B">
                      <w:pPr>
                        <w:spacing w:before="100" w:beforeAutospacing="1" w:after="240"/>
                        <w:rPr>
                          <w:i/>
                          <w:color w:val="FFFFFF" w:themeColor="background1"/>
                          <w:sz w:val="96"/>
                        </w:rPr>
                      </w:pPr>
                      <w:r w:rsidRPr="00B45D95">
                        <w:rPr>
                          <w:i/>
                          <w:color w:val="FFFFFF" w:themeColor="background1"/>
                          <w:sz w:val="96"/>
                        </w:rPr>
                        <w:t>SIGOMA</w:t>
                      </w:r>
                    </w:p>
                    <w:p w:rsidR="007B24A5" w:rsidRPr="00A3143D" w:rsidRDefault="008B3456" w:rsidP="00763F16">
                      <w:pPr>
                        <w:spacing w:before="480"/>
                        <w:rPr>
                          <w:rFonts w:ascii="Arial Black" w:hAnsi="Arial Black" w:cs="Arial"/>
                          <w:color w:val="FFFFFF" w:themeColor="background1"/>
                          <w:sz w:val="30"/>
                          <w:szCs w:val="30"/>
                        </w:rPr>
                      </w:pPr>
                      <w:r>
                        <w:rPr>
                          <w:rFonts w:ascii="Arial Black" w:hAnsi="Arial Black" w:cs="Arial"/>
                          <w:color w:val="FFFFFF" w:themeColor="background1"/>
                          <w:sz w:val="30"/>
                          <w:szCs w:val="30"/>
                        </w:rPr>
                        <w:t>March</w:t>
                      </w:r>
                      <w:r w:rsidR="009D2453" w:rsidRPr="00A3143D">
                        <w:rPr>
                          <w:rFonts w:ascii="Arial Black" w:hAnsi="Arial Black" w:cs="Arial"/>
                          <w:color w:val="FFFFFF" w:themeColor="background1"/>
                          <w:sz w:val="30"/>
                          <w:szCs w:val="30"/>
                        </w:rPr>
                        <w:t xml:space="preserve"> </w:t>
                      </w:r>
                      <w:r>
                        <w:rPr>
                          <w:rFonts w:ascii="Arial Black" w:hAnsi="Arial Black" w:cs="Arial"/>
                          <w:color w:val="FFFFFF" w:themeColor="background1"/>
                          <w:sz w:val="30"/>
                          <w:szCs w:val="30"/>
                        </w:rPr>
                        <w:t>2016</w:t>
                      </w:r>
                      <w:r w:rsidR="007B24A5" w:rsidRPr="00A3143D">
                        <w:rPr>
                          <w:rFonts w:ascii="Arial Black" w:hAnsi="Arial Black" w:cs="Arial"/>
                          <w:color w:val="FFFFFF" w:themeColor="background1"/>
                          <w:sz w:val="30"/>
                          <w:szCs w:val="30"/>
                        </w:rPr>
                        <w:t xml:space="preserve"> Budget</w:t>
                      </w:r>
                      <w:r w:rsidR="00A3143D">
                        <w:rPr>
                          <w:rFonts w:ascii="Arial Black" w:hAnsi="Arial Black" w:cs="Arial"/>
                          <w:color w:val="FFFFFF" w:themeColor="background1"/>
                          <w:sz w:val="30"/>
                          <w:szCs w:val="30"/>
                        </w:rPr>
                        <w:t>.</w:t>
                      </w:r>
                      <w:r w:rsidR="00A3143D" w:rsidRPr="00A3143D">
                        <w:rPr>
                          <w:rFonts w:ascii="Arial Black" w:hAnsi="Arial Black" w:cs="Arial"/>
                          <w:color w:val="FFFFFF" w:themeColor="background1"/>
                          <w:sz w:val="30"/>
                          <w:szCs w:val="30"/>
                        </w:rPr>
                        <w:t xml:space="preserve"> Local Authority Finance Briefing Notes</w:t>
                      </w:r>
                    </w:p>
                  </w:txbxContent>
                </v:textbox>
              </v:roundrect>
            </w:pict>
          </mc:Fallback>
        </mc:AlternateContent>
      </w:r>
    </w:p>
    <w:p w:rsidR="00B45D95" w:rsidRDefault="00B45D95"/>
    <w:p w:rsidR="00763F16" w:rsidRDefault="00763F16"/>
    <w:p w:rsidR="00763F16" w:rsidRDefault="00763F16"/>
    <w:p w:rsidR="00763F16" w:rsidRDefault="00763F16"/>
    <w:p w:rsidR="00763F16" w:rsidRDefault="00763F16"/>
    <w:p w:rsidR="00ED311F" w:rsidRDefault="00ED311F">
      <w:pPr>
        <w:rPr>
          <w:rFonts w:ascii="Arial" w:hAnsi="Arial" w:cs="Arial"/>
          <w:color w:val="943634" w:themeColor="accent2" w:themeShade="BF"/>
          <w:sz w:val="28"/>
          <w:szCs w:val="28"/>
        </w:rPr>
      </w:pPr>
    </w:p>
    <w:p w:rsidR="00ED311F" w:rsidRDefault="00ED311F">
      <w:pPr>
        <w:rPr>
          <w:rFonts w:ascii="Arial" w:hAnsi="Arial" w:cs="Arial"/>
          <w:color w:val="943634" w:themeColor="accent2" w:themeShade="BF"/>
          <w:sz w:val="28"/>
          <w:szCs w:val="28"/>
        </w:rPr>
      </w:pPr>
    </w:p>
    <w:p w:rsidR="00020AD2" w:rsidRDefault="00020AD2" w:rsidP="00CD057C">
      <w:pPr>
        <w:rPr>
          <w:rFonts w:ascii="Arial" w:hAnsi="Arial" w:cs="Arial"/>
          <w:color w:val="943634" w:themeColor="accent2" w:themeShade="BF"/>
          <w:sz w:val="28"/>
          <w:szCs w:val="28"/>
        </w:rPr>
      </w:pPr>
    </w:p>
    <w:p w:rsidR="00444397" w:rsidRDefault="00A3143D" w:rsidP="00444397">
      <w:pPr>
        <w:rPr>
          <w:rFonts w:ascii="Arial" w:hAnsi="Arial" w:cs="Arial"/>
          <w:color w:val="943634" w:themeColor="accent2" w:themeShade="BF"/>
          <w:sz w:val="28"/>
          <w:szCs w:val="28"/>
        </w:rPr>
      </w:pPr>
      <w:r>
        <w:rPr>
          <w:rFonts w:ascii="Arial" w:hAnsi="Arial" w:cs="Arial"/>
          <w:color w:val="943634" w:themeColor="accent2" w:themeShade="BF"/>
          <w:sz w:val="28"/>
          <w:szCs w:val="28"/>
        </w:rPr>
        <w:t>B</w:t>
      </w:r>
      <w:r w:rsidR="00444397">
        <w:rPr>
          <w:rFonts w:ascii="Arial" w:hAnsi="Arial" w:cs="Arial"/>
          <w:color w:val="943634" w:themeColor="accent2" w:themeShade="BF"/>
          <w:sz w:val="28"/>
          <w:szCs w:val="28"/>
        </w:rPr>
        <w:t>ullets</w:t>
      </w:r>
    </w:p>
    <w:p w:rsidR="00444397" w:rsidRPr="00B81765" w:rsidRDefault="00444397" w:rsidP="00CD057C">
      <w:pPr>
        <w:rPr>
          <w:rFonts w:ascii="Arial" w:hAnsi="Arial" w:cs="Arial"/>
          <w:color w:val="943634" w:themeColor="accent2" w:themeShade="BF"/>
        </w:rPr>
      </w:pPr>
    </w:p>
    <w:p w:rsidR="00444397" w:rsidRDefault="00B81765" w:rsidP="00A3143D">
      <w:pPr>
        <w:pStyle w:val="ListParagraph"/>
        <w:numPr>
          <w:ilvl w:val="0"/>
          <w:numId w:val="8"/>
        </w:numPr>
        <w:rPr>
          <w:rFonts w:ascii="Arial" w:hAnsi="Arial" w:cs="Arial"/>
        </w:rPr>
      </w:pPr>
      <w:r>
        <w:rPr>
          <w:rFonts w:ascii="Arial" w:hAnsi="Arial" w:cs="Arial"/>
        </w:rPr>
        <w:t>£</w:t>
      </w:r>
      <w:r w:rsidR="00104742">
        <w:rPr>
          <w:rFonts w:ascii="Arial" w:hAnsi="Arial" w:cs="Arial"/>
        </w:rPr>
        <w:t xml:space="preserve">3.5 billion </w:t>
      </w:r>
      <w:r w:rsidR="00DE1749">
        <w:rPr>
          <w:rFonts w:ascii="Arial" w:hAnsi="Arial" w:cs="Arial"/>
        </w:rPr>
        <w:t>e</w:t>
      </w:r>
      <w:r w:rsidR="00104742">
        <w:rPr>
          <w:rFonts w:ascii="Arial" w:hAnsi="Arial" w:cs="Arial"/>
        </w:rPr>
        <w:t>fficiency savings</w:t>
      </w:r>
      <w:r>
        <w:rPr>
          <w:rFonts w:ascii="Arial" w:hAnsi="Arial" w:cs="Arial"/>
        </w:rPr>
        <w:t>,</w:t>
      </w:r>
      <w:r w:rsidR="00104742">
        <w:rPr>
          <w:rFonts w:ascii="Arial" w:hAnsi="Arial" w:cs="Arial"/>
        </w:rPr>
        <w:t xml:space="preserve"> all in 2019</w:t>
      </w:r>
      <w:r>
        <w:rPr>
          <w:rFonts w:ascii="Arial" w:hAnsi="Arial" w:cs="Arial"/>
        </w:rPr>
        <w:t>-</w:t>
      </w:r>
      <w:r w:rsidR="00104742">
        <w:rPr>
          <w:rFonts w:ascii="Arial" w:hAnsi="Arial" w:cs="Arial"/>
        </w:rPr>
        <w:t>20 no phasing and not allocated to departments</w:t>
      </w:r>
    </w:p>
    <w:p w:rsidR="00104742" w:rsidRDefault="00104742" w:rsidP="00A3143D">
      <w:pPr>
        <w:pStyle w:val="ListParagraph"/>
        <w:numPr>
          <w:ilvl w:val="0"/>
          <w:numId w:val="8"/>
        </w:numPr>
        <w:rPr>
          <w:rFonts w:ascii="Arial" w:hAnsi="Arial" w:cs="Arial"/>
        </w:rPr>
      </w:pPr>
      <w:r>
        <w:rPr>
          <w:rFonts w:ascii="Arial" w:hAnsi="Arial" w:cs="Arial"/>
        </w:rPr>
        <w:t>Increases in local authority DEL 17-18 to 19-20</w:t>
      </w:r>
      <w:r w:rsidR="00B81765">
        <w:rPr>
          <w:rFonts w:ascii="Arial" w:hAnsi="Arial" w:cs="Arial"/>
        </w:rPr>
        <w:t xml:space="preserve"> (see departmental funding changes)</w:t>
      </w:r>
    </w:p>
    <w:p w:rsidR="00104742" w:rsidRDefault="006134ED" w:rsidP="00A3143D">
      <w:pPr>
        <w:pStyle w:val="ListParagraph"/>
        <w:numPr>
          <w:ilvl w:val="0"/>
          <w:numId w:val="8"/>
        </w:numPr>
        <w:rPr>
          <w:rFonts w:ascii="Arial" w:hAnsi="Arial" w:cs="Arial"/>
        </w:rPr>
      </w:pPr>
      <w:r>
        <w:rPr>
          <w:rFonts w:ascii="Arial" w:hAnsi="Arial" w:cs="Arial"/>
        </w:rPr>
        <w:t>Small Business Rate R</w:t>
      </w:r>
      <w:r w:rsidR="00104742">
        <w:rPr>
          <w:rFonts w:ascii="Arial" w:hAnsi="Arial" w:cs="Arial"/>
        </w:rPr>
        <w:t>elief floor and ceiling raised</w:t>
      </w:r>
    </w:p>
    <w:p w:rsidR="006134ED" w:rsidRDefault="006134ED" w:rsidP="00A3143D">
      <w:pPr>
        <w:pStyle w:val="ListParagraph"/>
        <w:numPr>
          <w:ilvl w:val="0"/>
          <w:numId w:val="8"/>
        </w:numPr>
        <w:rPr>
          <w:rFonts w:ascii="Arial" w:hAnsi="Arial" w:cs="Arial"/>
        </w:rPr>
      </w:pPr>
      <w:r>
        <w:rPr>
          <w:rFonts w:ascii="Arial" w:hAnsi="Arial" w:cs="Arial"/>
        </w:rPr>
        <w:t>Permanent doubling of SBRR</w:t>
      </w:r>
    </w:p>
    <w:p w:rsidR="00104742" w:rsidRPr="00A3143D" w:rsidRDefault="00104742" w:rsidP="00A3143D">
      <w:pPr>
        <w:pStyle w:val="ListParagraph"/>
        <w:numPr>
          <w:ilvl w:val="0"/>
          <w:numId w:val="8"/>
        </w:numPr>
        <w:rPr>
          <w:rFonts w:ascii="Arial" w:hAnsi="Arial" w:cs="Arial"/>
        </w:rPr>
      </w:pPr>
      <w:r>
        <w:rPr>
          <w:rFonts w:ascii="Arial" w:hAnsi="Arial" w:cs="Arial"/>
        </w:rPr>
        <w:t>Commitment to move to 100% rate retention by 2019-20 with some pilot authorities starting earlier</w:t>
      </w:r>
    </w:p>
    <w:p w:rsidR="00444397" w:rsidRPr="00B81765" w:rsidRDefault="00444397" w:rsidP="00CD057C">
      <w:pPr>
        <w:rPr>
          <w:rFonts w:ascii="Arial" w:hAnsi="Arial" w:cs="Arial"/>
          <w:color w:val="943634" w:themeColor="accent2" w:themeShade="BF"/>
        </w:rPr>
      </w:pPr>
    </w:p>
    <w:p w:rsidR="00BD3DAA" w:rsidRDefault="00BD3DAA" w:rsidP="00CD057C">
      <w:pPr>
        <w:rPr>
          <w:rFonts w:ascii="Arial" w:hAnsi="Arial" w:cs="Arial"/>
          <w:color w:val="000000" w:themeColor="text1"/>
        </w:rPr>
      </w:pPr>
      <w:r>
        <w:rPr>
          <w:rFonts w:ascii="Arial" w:hAnsi="Arial" w:cs="Arial"/>
          <w:color w:val="000000" w:themeColor="text1"/>
        </w:rPr>
        <w:t>The 2016 budget was delivered on 16 M</w:t>
      </w:r>
      <w:r w:rsidR="00104742">
        <w:rPr>
          <w:rFonts w:ascii="Arial" w:hAnsi="Arial" w:cs="Arial"/>
          <w:color w:val="000000" w:themeColor="text1"/>
        </w:rPr>
        <w:t xml:space="preserve">arch 2016 and focussed </w:t>
      </w:r>
      <w:r w:rsidR="00DE1749">
        <w:rPr>
          <w:rFonts w:ascii="Arial" w:hAnsi="Arial" w:cs="Arial"/>
          <w:color w:val="000000" w:themeColor="text1"/>
        </w:rPr>
        <w:t>on the breadth of personal and company taxation issues</w:t>
      </w:r>
      <w:r w:rsidR="00701F7C">
        <w:rPr>
          <w:rFonts w:ascii="Arial" w:hAnsi="Arial" w:cs="Arial"/>
          <w:color w:val="000000" w:themeColor="text1"/>
        </w:rPr>
        <w:t>,</w:t>
      </w:r>
      <w:r w:rsidR="00DE1749">
        <w:rPr>
          <w:rFonts w:ascii="Arial" w:hAnsi="Arial" w:cs="Arial"/>
          <w:color w:val="000000" w:themeColor="text1"/>
        </w:rPr>
        <w:t xml:space="preserve"> with little time on the floor </w:t>
      </w:r>
      <w:r w:rsidR="00B81765">
        <w:rPr>
          <w:rFonts w:ascii="Arial" w:hAnsi="Arial" w:cs="Arial"/>
          <w:color w:val="000000" w:themeColor="text1"/>
        </w:rPr>
        <w:t xml:space="preserve">of the house </w:t>
      </w:r>
      <w:r w:rsidR="00DE1749">
        <w:rPr>
          <w:rFonts w:ascii="Arial" w:hAnsi="Arial" w:cs="Arial"/>
          <w:color w:val="000000" w:themeColor="text1"/>
        </w:rPr>
        <w:t>dev</w:t>
      </w:r>
      <w:r w:rsidR="00701F7C">
        <w:rPr>
          <w:rFonts w:ascii="Arial" w:hAnsi="Arial" w:cs="Arial"/>
          <w:color w:val="000000" w:themeColor="text1"/>
        </w:rPr>
        <w:t>oted to the</w:t>
      </w:r>
      <w:r w:rsidR="00DE1749">
        <w:rPr>
          <w:rFonts w:ascii="Arial" w:hAnsi="Arial" w:cs="Arial"/>
          <w:color w:val="000000" w:themeColor="text1"/>
        </w:rPr>
        <w:t xml:space="preserve"> further efficie</w:t>
      </w:r>
      <w:r w:rsidR="00701F7C">
        <w:rPr>
          <w:rFonts w:ascii="Arial" w:hAnsi="Arial" w:cs="Arial"/>
          <w:color w:val="000000" w:themeColor="text1"/>
        </w:rPr>
        <w:t>ncy savings required in 2019-20.</w:t>
      </w:r>
      <w:bookmarkStart w:id="0" w:name="_GoBack"/>
      <w:bookmarkEnd w:id="0"/>
    </w:p>
    <w:p w:rsidR="00DE1749" w:rsidRDefault="00DE1749" w:rsidP="00CD057C">
      <w:pPr>
        <w:rPr>
          <w:rFonts w:ascii="Arial" w:hAnsi="Arial" w:cs="Arial"/>
          <w:color w:val="000000" w:themeColor="text1"/>
        </w:rPr>
      </w:pPr>
    </w:p>
    <w:p w:rsidR="00DE1749" w:rsidRDefault="00DE1749" w:rsidP="00CD057C">
      <w:pPr>
        <w:rPr>
          <w:rFonts w:ascii="Arial" w:hAnsi="Arial" w:cs="Arial"/>
          <w:color w:val="000000" w:themeColor="text1"/>
        </w:rPr>
      </w:pPr>
      <w:r>
        <w:rPr>
          <w:rFonts w:ascii="Arial" w:hAnsi="Arial" w:cs="Arial"/>
          <w:color w:val="000000" w:themeColor="text1"/>
        </w:rPr>
        <w:t>Our briefing explains how overall authority funding has been presented in this budget and highlights individual items of interest to members.</w:t>
      </w:r>
    </w:p>
    <w:p w:rsidR="00DE1749" w:rsidRDefault="00DE1749" w:rsidP="00CD057C">
      <w:pPr>
        <w:rPr>
          <w:rFonts w:ascii="Arial" w:hAnsi="Arial" w:cs="Arial"/>
          <w:color w:val="000000" w:themeColor="text1"/>
        </w:rPr>
      </w:pPr>
    </w:p>
    <w:p w:rsidR="00DE1749" w:rsidRDefault="00DE1749" w:rsidP="00DE1749">
      <w:pPr>
        <w:rPr>
          <w:rFonts w:ascii="Arial" w:hAnsi="Arial" w:cs="Arial"/>
          <w:color w:val="943634" w:themeColor="accent2" w:themeShade="BF"/>
          <w:sz w:val="28"/>
          <w:szCs w:val="28"/>
        </w:rPr>
      </w:pPr>
      <w:r>
        <w:rPr>
          <w:rFonts w:ascii="Arial" w:hAnsi="Arial" w:cs="Arial"/>
          <w:color w:val="943634" w:themeColor="accent2" w:themeShade="BF"/>
          <w:sz w:val="28"/>
          <w:szCs w:val="28"/>
        </w:rPr>
        <w:t>Departmental Funding changes</w:t>
      </w:r>
    </w:p>
    <w:p w:rsidR="00DE1749" w:rsidRDefault="00DE1749" w:rsidP="00DE1749">
      <w:pPr>
        <w:rPr>
          <w:rFonts w:ascii="Arial" w:hAnsi="Arial" w:cs="Arial"/>
          <w:color w:val="000000"/>
        </w:rPr>
      </w:pPr>
    </w:p>
    <w:p w:rsidR="00DE1749" w:rsidRDefault="00DE1749" w:rsidP="00DE1749">
      <w:pPr>
        <w:rPr>
          <w:rFonts w:ascii="Arial" w:hAnsi="Arial" w:cs="Arial"/>
          <w:color w:val="000000"/>
        </w:rPr>
      </w:pPr>
      <w:r>
        <w:rPr>
          <w:rFonts w:ascii="Arial" w:hAnsi="Arial" w:cs="Arial"/>
          <w:color w:val="000000"/>
        </w:rPr>
        <w:t xml:space="preserve">Much press coverage has been given to the £4 billion </w:t>
      </w:r>
      <w:r w:rsidR="00B228A2">
        <w:rPr>
          <w:rFonts w:ascii="Arial" w:hAnsi="Arial" w:cs="Arial"/>
          <w:color w:val="000000"/>
        </w:rPr>
        <w:t xml:space="preserve">required </w:t>
      </w:r>
      <w:r>
        <w:rPr>
          <w:rFonts w:ascii="Arial" w:hAnsi="Arial" w:cs="Arial"/>
          <w:color w:val="000000"/>
        </w:rPr>
        <w:t xml:space="preserve">further </w:t>
      </w:r>
      <w:r w:rsidR="00B228A2">
        <w:rPr>
          <w:rFonts w:ascii="Arial" w:hAnsi="Arial" w:cs="Arial"/>
          <w:color w:val="000000"/>
        </w:rPr>
        <w:t xml:space="preserve">efficiency </w:t>
      </w:r>
      <w:r>
        <w:rPr>
          <w:rFonts w:ascii="Arial" w:hAnsi="Arial" w:cs="Arial"/>
          <w:color w:val="000000"/>
        </w:rPr>
        <w:t>savings the Chancellor revealed earlier in the week.</w:t>
      </w:r>
    </w:p>
    <w:p w:rsidR="00DE1749" w:rsidRDefault="00DE1749" w:rsidP="00DE1749">
      <w:pPr>
        <w:rPr>
          <w:rFonts w:ascii="Arial" w:hAnsi="Arial" w:cs="Arial"/>
          <w:color w:val="000000"/>
        </w:rPr>
      </w:pPr>
    </w:p>
    <w:p w:rsidR="00DE1749" w:rsidRDefault="00DE1749" w:rsidP="00DE1749">
      <w:pPr>
        <w:rPr>
          <w:rFonts w:ascii="Arial" w:hAnsi="Arial" w:cs="Arial"/>
          <w:color w:val="000000"/>
        </w:rPr>
      </w:pPr>
      <w:r>
        <w:rPr>
          <w:rFonts w:ascii="Arial" w:hAnsi="Arial" w:cs="Arial"/>
          <w:color w:val="000000"/>
        </w:rPr>
        <w:t xml:space="preserve">The allocation of this efficiency, </w:t>
      </w:r>
      <w:r w:rsidR="00B228A2">
        <w:rPr>
          <w:rFonts w:ascii="Arial" w:hAnsi="Arial" w:cs="Arial"/>
          <w:color w:val="000000"/>
        </w:rPr>
        <w:t xml:space="preserve">now revealed as </w:t>
      </w:r>
      <w:r>
        <w:rPr>
          <w:rFonts w:ascii="Arial" w:hAnsi="Arial" w:cs="Arial"/>
          <w:color w:val="000000"/>
        </w:rPr>
        <w:t xml:space="preserve">£3.5 billion in 2019-20 with no phasing, has been evaded in the budget document by showing the required efficiency as a single </w:t>
      </w:r>
      <w:r w:rsidR="00B228A2">
        <w:rPr>
          <w:rFonts w:ascii="Arial" w:hAnsi="Arial" w:cs="Arial"/>
          <w:color w:val="000000"/>
        </w:rPr>
        <w:t>negative line in the table of D</w:t>
      </w:r>
      <w:r>
        <w:rPr>
          <w:rFonts w:ascii="Arial" w:hAnsi="Arial" w:cs="Arial"/>
          <w:color w:val="000000"/>
        </w:rPr>
        <w:t xml:space="preserve">epartmental </w:t>
      </w:r>
      <w:r w:rsidR="004D1BE8">
        <w:rPr>
          <w:rFonts w:ascii="Arial" w:hAnsi="Arial" w:cs="Arial"/>
          <w:color w:val="000000"/>
        </w:rPr>
        <w:t>Expenditure Limits</w:t>
      </w:r>
      <w:r>
        <w:rPr>
          <w:rFonts w:ascii="Arial" w:hAnsi="Arial" w:cs="Arial"/>
          <w:color w:val="000000"/>
        </w:rPr>
        <w:t xml:space="preserve"> (</w:t>
      </w:r>
      <w:r w:rsidR="004D1BE8">
        <w:rPr>
          <w:rFonts w:ascii="Arial" w:hAnsi="Arial" w:cs="Arial"/>
          <w:color w:val="000000"/>
        </w:rPr>
        <w:t xml:space="preserve">DEL -  </w:t>
      </w:r>
      <w:r>
        <w:rPr>
          <w:rFonts w:ascii="Arial" w:hAnsi="Arial" w:cs="Arial"/>
          <w:color w:val="000000"/>
        </w:rPr>
        <w:t>table 2</w:t>
      </w:r>
      <w:r w:rsidR="00B228A2">
        <w:rPr>
          <w:rFonts w:ascii="Arial" w:hAnsi="Arial" w:cs="Arial"/>
          <w:color w:val="000000"/>
        </w:rPr>
        <w:t>.4 page 91) leaving individual D</w:t>
      </w:r>
      <w:r>
        <w:rPr>
          <w:rFonts w:ascii="Arial" w:hAnsi="Arial" w:cs="Arial"/>
          <w:color w:val="000000"/>
        </w:rPr>
        <w:t>epartmental budgets un affected.</w:t>
      </w:r>
    </w:p>
    <w:p w:rsidR="00DE1749" w:rsidRDefault="00DE1749" w:rsidP="00DE1749">
      <w:pPr>
        <w:rPr>
          <w:rFonts w:ascii="Arial" w:hAnsi="Arial" w:cs="Arial"/>
          <w:color w:val="000000"/>
        </w:rPr>
      </w:pPr>
    </w:p>
    <w:p w:rsidR="00B15FDE" w:rsidRDefault="00DE1749" w:rsidP="00DE1749">
      <w:pPr>
        <w:rPr>
          <w:rFonts w:ascii="Arial" w:hAnsi="Arial" w:cs="Arial"/>
          <w:color w:val="000000"/>
        </w:rPr>
      </w:pPr>
      <w:r>
        <w:rPr>
          <w:rFonts w:ascii="Arial" w:hAnsi="Arial" w:cs="Arial"/>
          <w:color w:val="000000"/>
        </w:rPr>
        <w:t>Hence</w:t>
      </w:r>
      <w:r w:rsidR="00B228A2">
        <w:rPr>
          <w:rFonts w:ascii="Arial" w:hAnsi="Arial" w:cs="Arial"/>
          <w:color w:val="000000"/>
        </w:rPr>
        <w:t>,</w:t>
      </w:r>
      <w:r w:rsidR="006134ED">
        <w:rPr>
          <w:rFonts w:ascii="Arial" w:hAnsi="Arial" w:cs="Arial"/>
          <w:color w:val="000000"/>
        </w:rPr>
        <w:t xml:space="preserve"> local g</w:t>
      </w:r>
      <w:r>
        <w:rPr>
          <w:rFonts w:ascii="Arial" w:hAnsi="Arial" w:cs="Arial"/>
          <w:color w:val="000000"/>
        </w:rPr>
        <w:t xml:space="preserve">overnment budgets remain apparently unaffected by the efficiency, up </w:t>
      </w:r>
      <w:r w:rsidR="00B228A2">
        <w:rPr>
          <w:rFonts w:ascii="Arial" w:hAnsi="Arial" w:cs="Arial"/>
          <w:color w:val="000000"/>
        </w:rPr>
        <w:t xml:space="preserve">in fact </w:t>
      </w:r>
      <w:r w:rsidR="00B15FDE">
        <w:rPr>
          <w:rFonts w:ascii="Arial" w:hAnsi="Arial" w:cs="Arial"/>
          <w:color w:val="000000"/>
        </w:rPr>
        <w:t>from our D</w:t>
      </w:r>
      <w:r>
        <w:rPr>
          <w:rFonts w:ascii="Arial" w:hAnsi="Arial" w:cs="Arial"/>
          <w:color w:val="000000"/>
        </w:rPr>
        <w:t>epartmental budget publicised in the November ’15 Spending Review</w:t>
      </w:r>
      <w:r w:rsidR="00B15FDE">
        <w:rPr>
          <w:rStyle w:val="FootnoteReference"/>
          <w:rFonts w:ascii="Arial" w:hAnsi="Arial" w:cs="Arial"/>
          <w:color w:val="000000"/>
        </w:rPr>
        <w:footnoteReference w:id="1"/>
      </w:r>
      <w:r>
        <w:rPr>
          <w:rFonts w:ascii="Arial" w:hAnsi="Arial" w:cs="Arial"/>
          <w:color w:val="000000"/>
        </w:rPr>
        <w:t>.</w:t>
      </w:r>
      <w:r w:rsidR="00B228A2">
        <w:rPr>
          <w:rFonts w:ascii="Arial" w:hAnsi="Arial" w:cs="Arial"/>
          <w:color w:val="000000"/>
        </w:rPr>
        <w:t xml:space="preserve"> </w:t>
      </w:r>
    </w:p>
    <w:p w:rsidR="00B15FDE" w:rsidRDefault="00B15FDE" w:rsidP="00DE1749">
      <w:pPr>
        <w:rPr>
          <w:rFonts w:ascii="Arial" w:hAnsi="Arial" w:cs="Arial"/>
          <w:color w:val="000000"/>
        </w:rPr>
      </w:pPr>
    </w:p>
    <w:p w:rsidR="00B15FDE" w:rsidRDefault="00B15FDE" w:rsidP="00DE1749">
      <w:pPr>
        <w:rPr>
          <w:rFonts w:ascii="Arial" w:hAnsi="Arial" w:cs="Arial"/>
          <w:color w:val="000000"/>
        </w:rPr>
      </w:pPr>
      <w:r w:rsidRPr="00B15FDE">
        <w:drawing>
          <wp:inline distT="0" distB="0" distL="0" distR="0">
            <wp:extent cx="5972175" cy="1019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1019175"/>
                    </a:xfrm>
                    <a:prstGeom prst="rect">
                      <a:avLst/>
                    </a:prstGeom>
                    <a:noFill/>
                    <a:ln>
                      <a:noFill/>
                    </a:ln>
                  </pic:spPr>
                </pic:pic>
              </a:graphicData>
            </a:graphic>
          </wp:inline>
        </w:drawing>
      </w:r>
    </w:p>
    <w:p w:rsidR="00B15FDE" w:rsidRDefault="00B15FDE" w:rsidP="00DE1749">
      <w:pPr>
        <w:rPr>
          <w:rFonts w:ascii="Arial" w:hAnsi="Arial" w:cs="Arial"/>
          <w:color w:val="000000"/>
        </w:rPr>
      </w:pPr>
    </w:p>
    <w:p w:rsidR="00B15FDE" w:rsidRDefault="00B15FDE" w:rsidP="00DE1749">
      <w:pPr>
        <w:rPr>
          <w:rFonts w:ascii="Arial" w:hAnsi="Arial" w:cs="Arial"/>
          <w:color w:val="000000"/>
        </w:rPr>
      </w:pPr>
    </w:p>
    <w:p w:rsidR="00DE1749" w:rsidRDefault="00B228A2" w:rsidP="00DE1749">
      <w:pPr>
        <w:rPr>
          <w:rFonts w:ascii="Arial" w:hAnsi="Arial" w:cs="Arial"/>
          <w:color w:val="000000"/>
        </w:rPr>
      </w:pPr>
      <w:r>
        <w:rPr>
          <w:rFonts w:ascii="Arial" w:hAnsi="Arial" w:cs="Arial"/>
          <w:color w:val="000000"/>
        </w:rPr>
        <w:t>It may be that the Treasury has left the implied cut unallocated in the hope that future, more optimistic estimates of the OBR will remove the need for efficiencies to achie</w:t>
      </w:r>
      <w:r w:rsidR="00B81765">
        <w:rPr>
          <w:rFonts w:ascii="Arial" w:hAnsi="Arial" w:cs="Arial"/>
          <w:color w:val="000000"/>
        </w:rPr>
        <w:t>ve the budget surplus target.</w:t>
      </w:r>
      <w:r>
        <w:rPr>
          <w:rFonts w:ascii="Arial" w:hAnsi="Arial" w:cs="Arial"/>
          <w:color w:val="000000"/>
        </w:rPr>
        <w:t xml:space="preserve"> For as long as the £3.5 billion cut remains unallocated, however, the possibility of further reductions in 19-20 exist.</w:t>
      </w:r>
    </w:p>
    <w:p w:rsidR="004D1BE8" w:rsidRDefault="004D1BE8" w:rsidP="00DE1749">
      <w:pPr>
        <w:rPr>
          <w:rFonts w:ascii="Arial" w:hAnsi="Arial" w:cs="Arial"/>
          <w:color w:val="000000"/>
        </w:rPr>
      </w:pPr>
    </w:p>
    <w:p w:rsidR="00B81765" w:rsidRPr="00B81765" w:rsidRDefault="004D1BE8" w:rsidP="00CD057C">
      <w:pPr>
        <w:rPr>
          <w:rFonts w:ascii="Arial" w:hAnsi="Arial" w:cs="Arial"/>
          <w:color w:val="000000"/>
        </w:rPr>
      </w:pPr>
      <w:r>
        <w:rPr>
          <w:rFonts w:ascii="Arial" w:hAnsi="Arial" w:cs="Arial"/>
          <w:color w:val="000000"/>
        </w:rPr>
        <w:lastRenderedPageBreak/>
        <w:t>It seems reasonable to assume that this budget will not result in a reduced “offer” of the fo</w:t>
      </w:r>
      <w:r w:rsidR="00B81765">
        <w:rPr>
          <w:rFonts w:ascii="Arial" w:hAnsi="Arial" w:cs="Arial"/>
          <w:color w:val="000000"/>
        </w:rPr>
        <w:t>ur year settlement this year</w:t>
      </w:r>
      <w:r>
        <w:rPr>
          <w:rFonts w:ascii="Arial" w:hAnsi="Arial" w:cs="Arial"/>
          <w:color w:val="000000"/>
        </w:rPr>
        <w:t>. If DCLG follow their recent usual practice</w:t>
      </w:r>
      <w:r w:rsidR="00B81765">
        <w:rPr>
          <w:rFonts w:ascii="Arial" w:hAnsi="Arial" w:cs="Arial"/>
          <w:color w:val="000000"/>
        </w:rPr>
        <w:t>,</w:t>
      </w:r>
      <w:r>
        <w:rPr>
          <w:rFonts w:ascii="Arial" w:hAnsi="Arial" w:cs="Arial"/>
          <w:color w:val="000000"/>
        </w:rPr>
        <w:t xml:space="preserve"> a July </w:t>
      </w:r>
      <w:r w:rsidR="00B81765">
        <w:rPr>
          <w:rFonts w:ascii="Arial" w:hAnsi="Arial" w:cs="Arial"/>
          <w:color w:val="000000"/>
        </w:rPr>
        <w:t xml:space="preserve">settlement </w:t>
      </w:r>
      <w:r>
        <w:rPr>
          <w:rFonts w:ascii="Arial" w:hAnsi="Arial" w:cs="Arial"/>
          <w:color w:val="000000"/>
        </w:rPr>
        <w:t xml:space="preserve">consultation should confirm this. </w:t>
      </w:r>
      <w:r w:rsidR="00B81765">
        <w:rPr>
          <w:rFonts w:ascii="Arial" w:hAnsi="Arial" w:cs="Arial"/>
          <w:color w:val="000000"/>
        </w:rPr>
        <w:t xml:space="preserve">Treasury </w:t>
      </w:r>
      <w:r>
        <w:rPr>
          <w:rFonts w:ascii="Arial" w:hAnsi="Arial" w:cs="Arial"/>
          <w:color w:val="000000"/>
        </w:rPr>
        <w:t>Departmental funding allocation</w:t>
      </w:r>
      <w:r>
        <w:rPr>
          <w:rFonts w:ascii="Arial" w:hAnsi="Arial" w:cs="Arial"/>
          <w:color w:val="000000"/>
        </w:rPr>
        <w:t>s are</w:t>
      </w:r>
      <w:r w:rsidR="00B81765">
        <w:rPr>
          <w:rFonts w:ascii="Arial" w:hAnsi="Arial" w:cs="Arial"/>
          <w:color w:val="000000"/>
        </w:rPr>
        <w:t xml:space="preserve">, however, </w:t>
      </w:r>
      <w:r>
        <w:rPr>
          <w:rFonts w:ascii="Arial" w:hAnsi="Arial" w:cs="Arial"/>
          <w:color w:val="000000"/>
        </w:rPr>
        <w:t xml:space="preserve"> a poor indicator of any of the key funding allocations that authorities use to fix individual budgets</w:t>
      </w:r>
      <w:r>
        <w:rPr>
          <w:rStyle w:val="FootnoteReference"/>
          <w:rFonts w:ascii="Arial" w:hAnsi="Arial" w:cs="Arial"/>
          <w:color w:val="000000"/>
        </w:rPr>
        <w:footnoteReference w:id="2"/>
      </w:r>
      <w:r>
        <w:rPr>
          <w:rFonts w:ascii="Arial" w:hAnsi="Arial" w:cs="Arial"/>
          <w:color w:val="000000"/>
        </w:rPr>
        <w:t>.</w:t>
      </w:r>
    </w:p>
    <w:p w:rsidR="006134ED" w:rsidRDefault="006134ED" w:rsidP="00CD057C">
      <w:pPr>
        <w:rPr>
          <w:rFonts w:ascii="Arial" w:hAnsi="Arial" w:cs="Arial"/>
          <w:color w:val="000000" w:themeColor="text1"/>
        </w:rPr>
      </w:pPr>
    </w:p>
    <w:p w:rsidR="006134ED" w:rsidRPr="00B81765" w:rsidRDefault="006134ED" w:rsidP="00CD057C">
      <w:pPr>
        <w:rPr>
          <w:rFonts w:ascii="Arial" w:hAnsi="Arial" w:cs="Arial"/>
          <w:color w:val="943634" w:themeColor="accent2" w:themeShade="BF"/>
          <w:sz w:val="28"/>
          <w:szCs w:val="28"/>
        </w:rPr>
      </w:pPr>
      <w:r>
        <w:rPr>
          <w:rFonts w:ascii="Arial" w:hAnsi="Arial" w:cs="Arial"/>
          <w:color w:val="943634" w:themeColor="accent2" w:themeShade="BF"/>
          <w:sz w:val="28"/>
          <w:szCs w:val="28"/>
        </w:rPr>
        <w:t>Business Rates</w:t>
      </w:r>
    </w:p>
    <w:p w:rsidR="006134ED" w:rsidRDefault="006134ED" w:rsidP="006134ED">
      <w:pPr>
        <w:rPr>
          <w:rFonts w:ascii="Arial" w:hAnsi="Arial" w:cs="Arial"/>
        </w:rPr>
      </w:pPr>
      <w:r>
        <w:rPr>
          <w:rFonts w:ascii="Arial" w:hAnsi="Arial" w:cs="Arial"/>
        </w:rPr>
        <w:t>I</w:t>
      </w:r>
      <w:r w:rsidRPr="006134ED">
        <w:rPr>
          <w:rFonts w:ascii="Arial" w:hAnsi="Arial" w:cs="Arial"/>
        </w:rPr>
        <w:t>ndexation – The government will change the annual uprating of</w:t>
      </w:r>
      <w:r>
        <w:rPr>
          <w:rFonts w:ascii="Arial" w:hAnsi="Arial" w:cs="Arial"/>
        </w:rPr>
        <w:t xml:space="preserve"> </w:t>
      </w:r>
      <w:r w:rsidRPr="006134ED">
        <w:rPr>
          <w:rFonts w:ascii="Arial" w:hAnsi="Arial" w:cs="Arial"/>
        </w:rPr>
        <w:t>business rates in England from the Retail Prices Index to the main measure of inflation, currently</w:t>
      </w:r>
      <w:r>
        <w:rPr>
          <w:rFonts w:ascii="Arial" w:hAnsi="Arial" w:cs="Arial"/>
        </w:rPr>
        <w:t xml:space="preserve"> </w:t>
      </w:r>
      <w:r w:rsidRPr="006134ED">
        <w:rPr>
          <w:rFonts w:ascii="Arial" w:hAnsi="Arial" w:cs="Arial"/>
        </w:rPr>
        <w:t>the Consumer Price Index, from 1 April 2020</w:t>
      </w:r>
      <w:r w:rsidRPr="006134ED">
        <w:rPr>
          <w:rFonts w:ascii="Arial" w:hAnsi="Arial" w:cs="Arial"/>
        </w:rPr>
        <w:t xml:space="preserve"> </w:t>
      </w:r>
      <w:r>
        <w:rPr>
          <w:rFonts w:ascii="Arial" w:hAnsi="Arial" w:cs="Arial"/>
        </w:rPr>
        <w:t>(</w:t>
      </w:r>
      <w:r w:rsidRPr="006134ED">
        <w:rPr>
          <w:rFonts w:ascii="Arial" w:hAnsi="Arial" w:cs="Arial"/>
        </w:rPr>
        <w:t>2.121</w:t>
      </w:r>
      <w:r>
        <w:rPr>
          <w:rFonts w:ascii="Arial" w:hAnsi="Arial" w:cs="Arial"/>
        </w:rPr>
        <w:t>)</w:t>
      </w:r>
      <w:r w:rsidR="00DD36D1">
        <w:rPr>
          <w:rFonts w:ascii="Arial" w:hAnsi="Arial" w:cs="Arial"/>
        </w:rPr>
        <w:t xml:space="preserve"> CPI runs at a lower rate than RPI and will result in lower rate increases to authorities.</w:t>
      </w:r>
    </w:p>
    <w:p w:rsidR="006134ED" w:rsidRPr="006134ED" w:rsidRDefault="006134ED" w:rsidP="006134ED">
      <w:pPr>
        <w:rPr>
          <w:rFonts w:ascii="Arial" w:hAnsi="Arial" w:cs="Arial"/>
        </w:rPr>
      </w:pPr>
    </w:p>
    <w:p w:rsidR="006134ED" w:rsidRDefault="006134ED" w:rsidP="006134ED">
      <w:pPr>
        <w:rPr>
          <w:rFonts w:ascii="Arial" w:hAnsi="Arial" w:cs="Arial"/>
        </w:rPr>
      </w:pPr>
      <w:r w:rsidRPr="006134ED">
        <w:rPr>
          <w:rFonts w:ascii="Arial" w:hAnsi="Arial" w:cs="Arial"/>
        </w:rPr>
        <w:t>Small Business Rate Relief (SBRR): doubling – The government will permanently</w:t>
      </w:r>
      <w:r>
        <w:rPr>
          <w:rFonts w:ascii="Arial" w:hAnsi="Arial" w:cs="Arial"/>
        </w:rPr>
        <w:t xml:space="preserve"> </w:t>
      </w:r>
      <w:r w:rsidRPr="006134ED">
        <w:rPr>
          <w:rFonts w:ascii="Arial" w:hAnsi="Arial" w:cs="Arial"/>
        </w:rPr>
        <w:t>double SBRR in</w:t>
      </w:r>
      <w:r>
        <w:rPr>
          <w:rFonts w:ascii="Arial" w:hAnsi="Arial" w:cs="Arial"/>
        </w:rPr>
        <w:t xml:space="preserve"> England from 1 April 2017. With the cost subsidised by treasury </w:t>
      </w:r>
      <w:r w:rsidR="00B81765">
        <w:rPr>
          <w:rFonts w:ascii="Arial" w:hAnsi="Arial" w:cs="Arial"/>
        </w:rPr>
        <w:t>(</w:t>
      </w:r>
      <w:r w:rsidRPr="006134ED">
        <w:rPr>
          <w:rFonts w:ascii="Arial" w:hAnsi="Arial" w:cs="Arial"/>
        </w:rPr>
        <w:t>2.122</w:t>
      </w:r>
      <w:r w:rsidR="00B81765">
        <w:rPr>
          <w:rFonts w:ascii="Arial" w:hAnsi="Arial" w:cs="Arial"/>
        </w:rPr>
        <w:t>)</w:t>
      </w:r>
    </w:p>
    <w:p w:rsidR="006134ED" w:rsidRPr="006134ED" w:rsidRDefault="006134ED" w:rsidP="006134ED">
      <w:pPr>
        <w:rPr>
          <w:rFonts w:ascii="Arial" w:hAnsi="Arial" w:cs="Arial"/>
        </w:rPr>
      </w:pPr>
    </w:p>
    <w:p w:rsidR="006134ED" w:rsidRDefault="006134ED" w:rsidP="006134ED">
      <w:pPr>
        <w:rPr>
          <w:rFonts w:ascii="Arial" w:hAnsi="Arial" w:cs="Arial"/>
        </w:rPr>
      </w:pPr>
      <w:r w:rsidRPr="006134ED">
        <w:rPr>
          <w:rFonts w:ascii="Arial" w:hAnsi="Arial" w:cs="Arial"/>
        </w:rPr>
        <w:t>Small Business Rate Relief: thresholds – The government will raise the SBRR</w:t>
      </w:r>
      <w:r>
        <w:rPr>
          <w:rFonts w:ascii="Arial" w:hAnsi="Arial" w:cs="Arial"/>
        </w:rPr>
        <w:t xml:space="preserve"> </w:t>
      </w:r>
      <w:r w:rsidRPr="006134ED">
        <w:rPr>
          <w:rFonts w:ascii="Arial" w:hAnsi="Arial" w:cs="Arial"/>
        </w:rPr>
        <w:t xml:space="preserve">threshold in England to rateable values of up to </w:t>
      </w:r>
      <w:r w:rsidRPr="006134ED">
        <w:rPr>
          <w:rFonts w:ascii="Arial" w:eastAsia="MS Mincho" w:hAnsi="Arial" w:cs="Arial"/>
        </w:rPr>
        <w:t>￡</w:t>
      </w:r>
      <w:r w:rsidRPr="006134ED">
        <w:rPr>
          <w:rFonts w:ascii="Arial" w:hAnsi="Arial" w:cs="Arial"/>
        </w:rPr>
        <w:t xml:space="preserve">12,000 tapering to </w:t>
      </w:r>
      <w:r w:rsidRPr="006134ED">
        <w:rPr>
          <w:rFonts w:ascii="Arial" w:eastAsia="MS Mincho" w:hAnsi="Arial" w:cs="Arial"/>
        </w:rPr>
        <w:t>￡</w:t>
      </w:r>
      <w:r w:rsidRPr="006134ED">
        <w:rPr>
          <w:rFonts w:ascii="Arial" w:hAnsi="Arial" w:cs="Arial"/>
        </w:rPr>
        <w:t>15,000 from 1 April</w:t>
      </w:r>
      <w:r>
        <w:rPr>
          <w:rFonts w:ascii="Arial" w:hAnsi="Arial" w:cs="Arial"/>
        </w:rPr>
        <w:t xml:space="preserve"> 2017. </w:t>
      </w:r>
      <w:r w:rsidR="00B81765">
        <w:rPr>
          <w:rFonts w:ascii="Arial" w:hAnsi="Arial" w:cs="Arial"/>
        </w:rPr>
        <w:t>(</w:t>
      </w:r>
      <w:r w:rsidRPr="006134ED">
        <w:rPr>
          <w:rFonts w:ascii="Arial" w:hAnsi="Arial" w:cs="Arial"/>
        </w:rPr>
        <w:t>2.123</w:t>
      </w:r>
      <w:r w:rsidR="00B81765">
        <w:rPr>
          <w:rFonts w:ascii="Arial" w:hAnsi="Arial" w:cs="Arial"/>
        </w:rPr>
        <w:t>)</w:t>
      </w:r>
    </w:p>
    <w:p w:rsidR="006134ED" w:rsidRPr="006134ED" w:rsidRDefault="006134ED" w:rsidP="006134ED">
      <w:pPr>
        <w:rPr>
          <w:rFonts w:ascii="Arial" w:hAnsi="Arial" w:cs="Arial"/>
        </w:rPr>
      </w:pPr>
    </w:p>
    <w:p w:rsidR="006134ED" w:rsidRDefault="006134ED" w:rsidP="006134ED">
      <w:pPr>
        <w:rPr>
          <w:rFonts w:ascii="Arial" w:hAnsi="Arial" w:cs="Arial"/>
        </w:rPr>
      </w:pPr>
      <w:r>
        <w:rPr>
          <w:rFonts w:ascii="Arial" w:hAnsi="Arial" w:cs="Arial"/>
        </w:rPr>
        <w:t>S</w:t>
      </w:r>
      <w:r w:rsidRPr="006134ED">
        <w:rPr>
          <w:rFonts w:ascii="Arial" w:hAnsi="Arial" w:cs="Arial"/>
        </w:rPr>
        <w:t>tandard multiplier – The government will raise the threshold at</w:t>
      </w:r>
      <w:r w:rsidR="00B81765">
        <w:rPr>
          <w:rFonts w:ascii="Arial" w:hAnsi="Arial" w:cs="Arial"/>
        </w:rPr>
        <w:t xml:space="preserve"> </w:t>
      </w:r>
      <w:r w:rsidRPr="006134ED">
        <w:rPr>
          <w:rFonts w:ascii="Arial" w:hAnsi="Arial" w:cs="Arial"/>
        </w:rPr>
        <w:t>which business rates bills in England are calculated using the standard multiplier to properties</w:t>
      </w:r>
      <w:r w:rsidR="00B81765">
        <w:rPr>
          <w:rFonts w:ascii="Arial" w:hAnsi="Arial" w:cs="Arial"/>
        </w:rPr>
        <w:t xml:space="preserve"> </w:t>
      </w:r>
      <w:r w:rsidRPr="006134ED">
        <w:rPr>
          <w:rFonts w:ascii="Arial" w:hAnsi="Arial" w:cs="Arial"/>
        </w:rPr>
        <w:t xml:space="preserve">with rateable values of </w:t>
      </w:r>
      <w:r w:rsidRPr="006134ED">
        <w:rPr>
          <w:rFonts w:ascii="Arial" w:eastAsia="MS Mincho" w:hAnsi="Arial" w:cs="Arial"/>
        </w:rPr>
        <w:t>￡</w:t>
      </w:r>
      <w:r w:rsidRPr="006134ED">
        <w:rPr>
          <w:rFonts w:ascii="Arial" w:hAnsi="Arial" w:cs="Arial"/>
        </w:rPr>
        <w:t>51,000 a</w:t>
      </w:r>
      <w:r>
        <w:rPr>
          <w:rFonts w:ascii="Arial" w:hAnsi="Arial" w:cs="Arial"/>
        </w:rPr>
        <w:t xml:space="preserve">nd above from 1 April 2017.  </w:t>
      </w:r>
      <w:r w:rsidR="00B81765">
        <w:rPr>
          <w:rFonts w:ascii="Arial" w:hAnsi="Arial" w:cs="Arial"/>
        </w:rPr>
        <w:t>(</w:t>
      </w:r>
      <w:r w:rsidRPr="006134ED">
        <w:rPr>
          <w:rFonts w:ascii="Arial" w:hAnsi="Arial" w:cs="Arial"/>
        </w:rPr>
        <w:t>2.124</w:t>
      </w:r>
      <w:r w:rsidR="00B81765">
        <w:rPr>
          <w:rFonts w:ascii="Arial" w:hAnsi="Arial" w:cs="Arial"/>
        </w:rPr>
        <w:t>)</w:t>
      </w:r>
    </w:p>
    <w:p w:rsidR="006134ED" w:rsidRDefault="006134ED" w:rsidP="006134ED">
      <w:pPr>
        <w:rPr>
          <w:rFonts w:ascii="Arial" w:hAnsi="Arial" w:cs="Arial"/>
        </w:rPr>
      </w:pPr>
    </w:p>
    <w:p w:rsidR="006134ED" w:rsidRDefault="006134ED" w:rsidP="006134ED">
      <w:pPr>
        <w:rPr>
          <w:rFonts w:ascii="Arial" w:hAnsi="Arial" w:cs="Arial"/>
        </w:rPr>
      </w:pPr>
      <w:r>
        <w:rPr>
          <w:rFonts w:ascii="Arial" w:hAnsi="Arial" w:cs="Arial"/>
        </w:rPr>
        <w:t>L</w:t>
      </w:r>
      <w:r w:rsidRPr="006134ED">
        <w:rPr>
          <w:rFonts w:ascii="Arial" w:hAnsi="Arial" w:cs="Arial"/>
        </w:rPr>
        <w:t xml:space="preserve">ocal newspapers – The government will introduce a </w:t>
      </w:r>
      <w:r w:rsidRPr="006134ED">
        <w:rPr>
          <w:rFonts w:ascii="Arial" w:eastAsia="MS Mincho" w:hAnsi="Arial" w:cs="Arial"/>
        </w:rPr>
        <w:t>￡</w:t>
      </w:r>
      <w:r w:rsidRPr="006134ED">
        <w:rPr>
          <w:rFonts w:ascii="Arial" w:hAnsi="Arial" w:cs="Arial"/>
        </w:rPr>
        <w:t>1,500 business</w:t>
      </w:r>
      <w:r>
        <w:rPr>
          <w:rFonts w:ascii="Arial" w:hAnsi="Arial" w:cs="Arial"/>
        </w:rPr>
        <w:t xml:space="preserve"> </w:t>
      </w:r>
      <w:r w:rsidRPr="006134ED">
        <w:rPr>
          <w:rFonts w:ascii="Arial" w:hAnsi="Arial" w:cs="Arial"/>
        </w:rPr>
        <w:t>rates discount for office space occupied by local newspapers in England, up to a maximum of</w:t>
      </w:r>
      <w:r>
        <w:rPr>
          <w:rFonts w:ascii="Arial" w:hAnsi="Arial" w:cs="Arial"/>
        </w:rPr>
        <w:t xml:space="preserve"> </w:t>
      </w:r>
      <w:r w:rsidRPr="006134ED">
        <w:rPr>
          <w:rFonts w:ascii="Arial" w:hAnsi="Arial" w:cs="Arial"/>
        </w:rPr>
        <w:t>one discount per local newspaper title and per hereditament, and up to state aid limits, for</w:t>
      </w:r>
      <w:r>
        <w:rPr>
          <w:rFonts w:ascii="Arial" w:hAnsi="Arial" w:cs="Arial"/>
        </w:rPr>
        <w:t xml:space="preserve"> </w:t>
      </w:r>
      <w:r w:rsidRPr="006134ED">
        <w:rPr>
          <w:rFonts w:ascii="Arial" w:hAnsi="Arial" w:cs="Arial"/>
        </w:rPr>
        <w:t>2 years from 1 April 2017.</w:t>
      </w:r>
      <w:r w:rsidRPr="006134ED">
        <w:rPr>
          <w:rFonts w:ascii="Arial" w:hAnsi="Arial" w:cs="Arial"/>
        </w:rPr>
        <w:t xml:space="preserve"> </w:t>
      </w:r>
      <w:r w:rsidR="00B81765">
        <w:rPr>
          <w:rFonts w:ascii="Arial" w:hAnsi="Arial" w:cs="Arial"/>
        </w:rPr>
        <w:t>(</w:t>
      </w:r>
      <w:r w:rsidRPr="006134ED">
        <w:rPr>
          <w:rFonts w:ascii="Arial" w:hAnsi="Arial" w:cs="Arial"/>
        </w:rPr>
        <w:t>2.126</w:t>
      </w:r>
      <w:r w:rsidR="00B81765">
        <w:rPr>
          <w:rFonts w:ascii="Arial" w:hAnsi="Arial" w:cs="Arial"/>
        </w:rPr>
        <w:t>)</w:t>
      </w:r>
    </w:p>
    <w:p w:rsidR="006134ED" w:rsidRPr="006134ED" w:rsidRDefault="006134ED" w:rsidP="006134ED">
      <w:pPr>
        <w:rPr>
          <w:rFonts w:ascii="Arial" w:hAnsi="Arial" w:cs="Arial"/>
        </w:rPr>
      </w:pPr>
    </w:p>
    <w:p w:rsidR="006134ED" w:rsidRDefault="006134ED" w:rsidP="006134ED">
      <w:pPr>
        <w:rPr>
          <w:rFonts w:ascii="Arial" w:hAnsi="Arial" w:cs="Arial"/>
        </w:rPr>
      </w:pPr>
      <w:r>
        <w:rPr>
          <w:rFonts w:ascii="Arial" w:hAnsi="Arial" w:cs="Arial"/>
        </w:rPr>
        <w:t>L</w:t>
      </w:r>
      <w:r w:rsidRPr="006134ED">
        <w:rPr>
          <w:rFonts w:ascii="Arial" w:hAnsi="Arial" w:cs="Arial"/>
        </w:rPr>
        <w:t>ong-term review – The government will publish a summary of the</w:t>
      </w:r>
      <w:r>
        <w:rPr>
          <w:rFonts w:ascii="Arial" w:hAnsi="Arial" w:cs="Arial"/>
        </w:rPr>
        <w:t xml:space="preserve"> </w:t>
      </w:r>
      <w:r w:rsidRPr="006134ED">
        <w:rPr>
          <w:rFonts w:ascii="Arial" w:hAnsi="Arial" w:cs="Arial"/>
        </w:rPr>
        <w:t>responses received as part of the long-term review of business rates in England in March 2016.</w:t>
      </w:r>
      <w:r w:rsidRPr="006134ED">
        <w:rPr>
          <w:rFonts w:ascii="Arial" w:hAnsi="Arial" w:cs="Arial"/>
        </w:rPr>
        <w:t xml:space="preserve"> </w:t>
      </w:r>
      <w:r w:rsidR="00B81765">
        <w:rPr>
          <w:rFonts w:ascii="Arial" w:hAnsi="Arial" w:cs="Arial"/>
        </w:rPr>
        <w:t>(</w:t>
      </w:r>
      <w:r w:rsidRPr="006134ED">
        <w:rPr>
          <w:rFonts w:ascii="Arial" w:hAnsi="Arial" w:cs="Arial"/>
        </w:rPr>
        <w:t>2.127</w:t>
      </w:r>
      <w:r>
        <w:rPr>
          <w:rFonts w:ascii="Arial" w:hAnsi="Arial" w:cs="Arial"/>
        </w:rPr>
        <w:t xml:space="preserve"> </w:t>
      </w:r>
      <w:r w:rsidR="00B81765">
        <w:rPr>
          <w:rFonts w:ascii="Arial" w:hAnsi="Arial" w:cs="Arial"/>
        </w:rPr>
        <w:t>)</w:t>
      </w:r>
    </w:p>
    <w:p w:rsidR="006134ED" w:rsidRPr="006134ED" w:rsidRDefault="006134ED" w:rsidP="006134ED">
      <w:pPr>
        <w:rPr>
          <w:rFonts w:ascii="Arial" w:hAnsi="Arial" w:cs="Arial"/>
        </w:rPr>
      </w:pPr>
    </w:p>
    <w:p w:rsidR="006134ED" w:rsidRPr="00B81765" w:rsidRDefault="006134ED" w:rsidP="00E94061">
      <w:r>
        <w:rPr>
          <w:rFonts w:ascii="Arial" w:hAnsi="Arial" w:cs="Arial"/>
        </w:rPr>
        <w:t>M</w:t>
      </w:r>
      <w:r w:rsidRPr="006134ED">
        <w:rPr>
          <w:rFonts w:ascii="Arial" w:hAnsi="Arial" w:cs="Arial"/>
        </w:rPr>
        <w:t>odernisation – The government will work with local authorities in</w:t>
      </w:r>
      <w:r>
        <w:rPr>
          <w:rFonts w:ascii="Arial" w:hAnsi="Arial" w:cs="Arial"/>
        </w:rPr>
        <w:t xml:space="preserve"> </w:t>
      </w:r>
      <w:r w:rsidRPr="006134ED">
        <w:rPr>
          <w:rFonts w:ascii="Arial" w:hAnsi="Arial" w:cs="Arial"/>
        </w:rPr>
        <w:t>England to standardise business rates bills by 1 April 2017, ensure that all ratepayers can receive</w:t>
      </w:r>
      <w:r>
        <w:rPr>
          <w:rFonts w:ascii="Arial" w:hAnsi="Arial" w:cs="Arial"/>
        </w:rPr>
        <w:t xml:space="preserve"> </w:t>
      </w:r>
      <w:r w:rsidRPr="006134ED">
        <w:rPr>
          <w:rFonts w:ascii="Arial" w:hAnsi="Arial" w:cs="Arial"/>
        </w:rPr>
        <w:t>bills and make payments online by 1 April 2017 and ensure that all local authority billing and</w:t>
      </w:r>
      <w:r>
        <w:rPr>
          <w:rFonts w:ascii="Arial" w:hAnsi="Arial" w:cs="Arial"/>
        </w:rPr>
        <w:t xml:space="preserve"> </w:t>
      </w:r>
      <w:r w:rsidRPr="006134ED">
        <w:rPr>
          <w:rFonts w:ascii="Arial" w:hAnsi="Arial" w:cs="Arial"/>
        </w:rPr>
        <w:t>collection systems link with HMRC digital tax accounts by 2022.</w:t>
      </w:r>
      <w:r w:rsidR="00E94061">
        <w:rPr>
          <w:rFonts w:ascii="Arial" w:hAnsi="Arial" w:cs="Arial"/>
        </w:rPr>
        <w:t>(</w:t>
      </w:r>
      <w:r w:rsidRPr="006134ED">
        <w:rPr>
          <w:rFonts w:ascii="Arial" w:hAnsi="Arial" w:cs="Arial"/>
        </w:rPr>
        <w:t xml:space="preserve"> </w:t>
      </w:r>
      <w:r w:rsidRPr="006134ED">
        <w:rPr>
          <w:rFonts w:ascii="Arial" w:hAnsi="Arial" w:cs="Arial"/>
        </w:rPr>
        <w:t>2.128</w:t>
      </w:r>
      <w:r w:rsidR="00E94061">
        <w:rPr>
          <w:rFonts w:ascii="Arial" w:hAnsi="Arial" w:cs="Arial"/>
        </w:rPr>
        <w:t>)</w:t>
      </w:r>
      <w:r w:rsidR="00E94061" w:rsidRPr="00E94061">
        <w:t xml:space="preserve"> </w:t>
      </w:r>
      <w:r w:rsidR="00E94061">
        <w:t xml:space="preserve">. </w:t>
      </w:r>
      <w:r w:rsidR="00E94061" w:rsidRPr="00E94061">
        <w:rPr>
          <w:i/>
        </w:rPr>
        <w:t>O</w:t>
      </w:r>
      <w:r w:rsidR="00E94061" w:rsidRPr="00E94061">
        <w:rPr>
          <w:rFonts w:ascii="Arial" w:hAnsi="Arial" w:cs="Arial"/>
          <w:i/>
        </w:rPr>
        <w:t>nce local authority and HMRC systems are linked, the government will consider the</w:t>
      </w:r>
      <w:r w:rsidR="00E94061" w:rsidRPr="00E94061">
        <w:rPr>
          <w:rFonts w:ascii="Arial" w:hAnsi="Arial" w:cs="Arial"/>
          <w:i/>
        </w:rPr>
        <w:t xml:space="preserve"> </w:t>
      </w:r>
      <w:r w:rsidR="00E94061" w:rsidRPr="00E94061">
        <w:rPr>
          <w:rFonts w:ascii="Arial" w:hAnsi="Arial" w:cs="Arial"/>
          <w:i/>
        </w:rPr>
        <w:t>feasibility of replacing SBRR with a business rates allowance for small businesses– this would be applied to a business’s total property portfolio across local authority areas</w:t>
      </w:r>
      <w:r w:rsidR="00E94061" w:rsidRPr="00E94061">
        <w:rPr>
          <w:rFonts w:ascii="Arial" w:hAnsi="Arial" w:cs="Arial"/>
          <w:i/>
        </w:rPr>
        <w:t xml:space="preserve"> </w:t>
      </w:r>
      <w:r w:rsidR="00E94061" w:rsidRPr="00E94061">
        <w:rPr>
          <w:rFonts w:ascii="Arial" w:hAnsi="Arial" w:cs="Arial"/>
          <w:i/>
        </w:rPr>
        <w:t>allowing businesses that grow and acquire more property to benefit from relief</w:t>
      </w:r>
      <w:r w:rsidR="00E94061" w:rsidRPr="00E94061">
        <w:rPr>
          <w:rFonts w:ascii="Arial" w:hAnsi="Arial" w:cs="Arial"/>
          <w:i/>
        </w:rPr>
        <w:t>.</w:t>
      </w:r>
    </w:p>
    <w:p w:rsidR="006134ED" w:rsidRPr="006134ED" w:rsidRDefault="006134ED" w:rsidP="006134ED">
      <w:pPr>
        <w:rPr>
          <w:rFonts w:ascii="Arial" w:hAnsi="Arial" w:cs="Arial"/>
        </w:rPr>
      </w:pPr>
    </w:p>
    <w:p w:rsidR="006134ED" w:rsidRPr="006134ED" w:rsidRDefault="006134ED" w:rsidP="006134ED">
      <w:pPr>
        <w:rPr>
          <w:rFonts w:ascii="Arial" w:hAnsi="Arial" w:cs="Arial"/>
        </w:rPr>
      </w:pPr>
      <w:r>
        <w:rPr>
          <w:rFonts w:ascii="Arial" w:hAnsi="Arial" w:cs="Arial"/>
        </w:rPr>
        <w:t>V</w:t>
      </w:r>
      <w:r w:rsidRPr="006134ED">
        <w:rPr>
          <w:rFonts w:ascii="Arial" w:hAnsi="Arial" w:cs="Arial"/>
        </w:rPr>
        <w:t>aluation reform – The government will aim to introduce more</w:t>
      </w:r>
      <w:r>
        <w:rPr>
          <w:rFonts w:ascii="Arial" w:hAnsi="Arial" w:cs="Arial"/>
        </w:rPr>
        <w:t xml:space="preserve"> </w:t>
      </w:r>
      <w:r w:rsidRPr="006134ED">
        <w:rPr>
          <w:rFonts w:ascii="Arial" w:hAnsi="Arial" w:cs="Arial"/>
        </w:rPr>
        <w:t>frequent (at least 3 yearly) revaluations of properties in England for business rates purposes and</w:t>
      </w:r>
      <w:r>
        <w:rPr>
          <w:rFonts w:ascii="Arial" w:hAnsi="Arial" w:cs="Arial"/>
        </w:rPr>
        <w:t xml:space="preserve"> </w:t>
      </w:r>
      <w:r w:rsidRPr="006134ED">
        <w:rPr>
          <w:rFonts w:ascii="Arial" w:hAnsi="Arial" w:cs="Arial"/>
        </w:rPr>
        <w:t>will publish a discussion paper in March 2016 outlining options to deliver this</w:t>
      </w:r>
      <w:r>
        <w:rPr>
          <w:rFonts w:ascii="Arial" w:hAnsi="Arial" w:cs="Arial"/>
        </w:rPr>
        <w:t xml:space="preserve"> </w:t>
      </w:r>
      <w:r w:rsidR="00B81765">
        <w:rPr>
          <w:rFonts w:ascii="Arial" w:hAnsi="Arial" w:cs="Arial"/>
        </w:rPr>
        <w:t>(</w:t>
      </w:r>
      <w:r w:rsidRPr="006134ED">
        <w:rPr>
          <w:rFonts w:ascii="Arial" w:hAnsi="Arial" w:cs="Arial"/>
        </w:rPr>
        <w:t>2.129</w:t>
      </w:r>
      <w:r w:rsidR="00B81765">
        <w:rPr>
          <w:rFonts w:ascii="Arial" w:hAnsi="Arial" w:cs="Arial"/>
        </w:rPr>
        <w:t>)</w:t>
      </w:r>
    </w:p>
    <w:p w:rsidR="006134ED" w:rsidRPr="006134ED" w:rsidRDefault="006134ED" w:rsidP="006134ED">
      <w:pPr>
        <w:rPr>
          <w:rFonts w:ascii="Arial" w:hAnsi="Arial" w:cs="Arial"/>
        </w:rPr>
      </w:pPr>
    </w:p>
    <w:p w:rsidR="006134ED" w:rsidRPr="006134ED" w:rsidRDefault="006134ED" w:rsidP="006134ED">
      <w:pPr>
        <w:rPr>
          <w:rFonts w:ascii="Arial" w:hAnsi="Arial" w:cs="Arial"/>
          <w:color w:val="943634" w:themeColor="accent2" w:themeShade="BF"/>
          <w:sz w:val="28"/>
          <w:szCs w:val="28"/>
        </w:rPr>
      </w:pPr>
      <w:r w:rsidRPr="006134ED">
        <w:rPr>
          <w:rFonts w:ascii="Arial" w:hAnsi="Arial" w:cs="Arial"/>
        </w:rPr>
        <w:t>100% Retention – The government will pilot approaches to</w:t>
      </w:r>
      <w:r>
        <w:rPr>
          <w:rFonts w:ascii="Arial" w:hAnsi="Arial" w:cs="Arial"/>
        </w:rPr>
        <w:t xml:space="preserve"> </w:t>
      </w:r>
      <w:r w:rsidRPr="006134ED">
        <w:rPr>
          <w:rFonts w:ascii="Arial" w:hAnsi="Arial" w:cs="Arial"/>
        </w:rPr>
        <w:t>100% retention of business rates with Liverpool City Region, Greater Manchester and the</w:t>
      </w:r>
      <w:r>
        <w:rPr>
          <w:rFonts w:ascii="Arial" w:hAnsi="Arial" w:cs="Arial"/>
        </w:rPr>
        <w:t xml:space="preserve"> </w:t>
      </w:r>
      <w:r w:rsidRPr="006134ED">
        <w:rPr>
          <w:rFonts w:ascii="Arial" w:hAnsi="Arial" w:cs="Arial"/>
        </w:rPr>
        <w:t>Greater London Authority. This offer is also available to other city regions that have ratified their</w:t>
      </w:r>
      <w:r>
        <w:rPr>
          <w:rFonts w:ascii="Arial" w:hAnsi="Arial" w:cs="Arial"/>
        </w:rPr>
        <w:t xml:space="preserve"> </w:t>
      </w:r>
      <w:r w:rsidRPr="006134ED">
        <w:rPr>
          <w:rFonts w:ascii="Arial" w:hAnsi="Arial" w:cs="Arial"/>
        </w:rPr>
        <w:t>devolution deals.</w:t>
      </w:r>
      <w:r w:rsidRPr="006134ED">
        <w:rPr>
          <w:rFonts w:ascii="Arial" w:hAnsi="Arial" w:cs="Arial"/>
        </w:rPr>
        <w:t xml:space="preserve"> </w:t>
      </w:r>
      <w:r w:rsidR="00B81765">
        <w:rPr>
          <w:rFonts w:ascii="Arial" w:hAnsi="Arial" w:cs="Arial"/>
        </w:rPr>
        <w:t>(</w:t>
      </w:r>
      <w:r w:rsidRPr="006134ED">
        <w:rPr>
          <w:rFonts w:ascii="Arial" w:hAnsi="Arial" w:cs="Arial"/>
        </w:rPr>
        <w:t>2.130</w:t>
      </w:r>
      <w:r w:rsidR="00B81765">
        <w:rPr>
          <w:rFonts w:ascii="Arial" w:hAnsi="Arial" w:cs="Arial"/>
        </w:rPr>
        <w:t>)</w:t>
      </w:r>
    </w:p>
    <w:p w:rsidR="00BD3DAA" w:rsidRPr="00B81765" w:rsidRDefault="00BD3DAA" w:rsidP="00CD057C">
      <w:pPr>
        <w:rPr>
          <w:rFonts w:ascii="Arial" w:hAnsi="Arial" w:cs="Arial"/>
          <w:color w:val="943634" w:themeColor="accent2" w:themeShade="BF"/>
        </w:rPr>
      </w:pPr>
    </w:p>
    <w:p w:rsidR="006134ED" w:rsidRDefault="006134ED" w:rsidP="006134ED">
      <w:pPr>
        <w:rPr>
          <w:rFonts w:ascii="Arial" w:hAnsi="Arial" w:cs="Arial"/>
          <w:color w:val="943634" w:themeColor="accent2" w:themeShade="BF"/>
          <w:sz w:val="28"/>
          <w:szCs w:val="28"/>
        </w:rPr>
      </w:pPr>
      <w:r>
        <w:rPr>
          <w:rFonts w:ascii="Arial" w:hAnsi="Arial" w:cs="Arial"/>
          <w:color w:val="943634" w:themeColor="accent2" w:themeShade="BF"/>
          <w:sz w:val="28"/>
          <w:szCs w:val="28"/>
        </w:rPr>
        <w:t>Other</w:t>
      </w:r>
    </w:p>
    <w:p w:rsidR="00BD3DAA" w:rsidRPr="00B81765" w:rsidRDefault="00BD3DAA" w:rsidP="00CD057C">
      <w:pPr>
        <w:rPr>
          <w:rFonts w:ascii="Arial" w:hAnsi="Arial" w:cs="Arial"/>
          <w:color w:val="943634" w:themeColor="accent2" w:themeShade="BF"/>
        </w:rPr>
      </w:pPr>
    </w:p>
    <w:p w:rsidR="00BD3DAA" w:rsidRPr="00DD36D1" w:rsidRDefault="006134ED" w:rsidP="00B15FDE">
      <w:pPr>
        <w:pStyle w:val="ListParagraph"/>
        <w:numPr>
          <w:ilvl w:val="0"/>
          <w:numId w:val="10"/>
        </w:numPr>
        <w:autoSpaceDE w:val="0"/>
        <w:autoSpaceDN w:val="0"/>
        <w:adjustRightInd w:val="0"/>
        <w:rPr>
          <w:rFonts w:ascii="Arial" w:hAnsi="Arial" w:cs="Arial"/>
        </w:rPr>
      </w:pPr>
      <w:r w:rsidRPr="00DD36D1">
        <w:rPr>
          <w:rFonts w:ascii="Arial" w:hAnsi="Arial" w:cs="Arial"/>
        </w:rPr>
        <w:t>L</w:t>
      </w:r>
      <w:r w:rsidR="00B81765" w:rsidRPr="00DD36D1">
        <w:rPr>
          <w:rFonts w:ascii="Arial" w:hAnsi="Arial" w:cs="Arial"/>
          <w:bCs/>
        </w:rPr>
        <w:t>aunch of a</w:t>
      </w:r>
      <w:r w:rsidR="0021627D" w:rsidRPr="00DD36D1">
        <w:rPr>
          <w:rFonts w:ascii="Arial" w:hAnsi="Arial" w:cs="Arial"/>
          <w:bCs/>
        </w:rPr>
        <w:t xml:space="preserve"> Starter Homes Land Fund prospectus</w:t>
      </w:r>
      <w:r w:rsidR="0021627D" w:rsidRPr="00DD36D1">
        <w:rPr>
          <w:rFonts w:ascii="Arial" w:hAnsi="Arial" w:cs="Arial"/>
        </w:rPr>
        <w:t>, inviting Local Authorities</w:t>
      </w:r>
      <w:r w:rsidR="00B15FDE" w:rsidRPr="00DD36D1">
        <w:rPr>
          <w:rFonts w:ascii="Arial" w:hAnsi="Arial" w:cs="Arial"/>
        </w:rPr>
        <w:t xml:space="preserve"> </w:t>
      </w:r>
      <w:r w:rsidR="0021627D" w:rsidRPr="00DD36D1">
        <w:rPr>
          <w:rFonts w:ascii="Arial" w:hAnsi="Arial" w:cs="Arial"/>
        </w:rPr>
        <w:t xml:space="preserve">to access £1.2 billion of funding to remediate brownfield land to be used for housing, </w:t>
      </w:r>
      <w:proofErr w:type="spellStart"/>
      <w:r w:rsidR="0021627D" w:rsidRPr="00DD36D1">
        <w:rPr>
          <w:rFonts w:ascii="Arial" w:hAnsi="Arial" w:cs="Arial"/>
        </w:rPr>
        <w:t>to</w:t>
      </w:r>
      <w:r w:rsidRPr="00DD36D1">
        <w:rPr>
          <w:rFonts w:ascii="Arial" w:hAnsi="Arial" w:cs="Arial"/>
        </w:rPr>
        <w:t>deliver</w:t>
      </w:r>
      <w:proofErr w:type="spellEnd"/>
      <w:r w:rsidRPr="00DD36D1">
        <w:rPr>
          <w:rFonts w:ascii="Arial" w:hAnsi="Arial" w:cs="Arial"/>
        </w:rPr>
        <w:t xml:space="preserve"> </w:t>
      </w:r>
      <w:r w:rsidR="0021627D" w:rsidRPr="00DD36D1">
        <w:rPr>
          <w:rFonts w:ascii="Arial" w:hAnsi="Arial" w:cs="Arial"/>
        </w:rPr>
        <w:t>30,000 Starter Homes</w:t>
      </w:r>
    </w:p>
    <w:p w:rsidR="0021627D" w:rsidRPr="00DD36D1" w:rsidRDefault="0021627D" w:rsidP="0021627D">
      <w:pPr>
        <w:rPr>
          <w:rFonts w:ascii="Arial" w:hAnsi="Arial" w:cs="Arial"/>
        </w:rPr>
      </w:pPr>
    </w:p>
    <w:p w:rsidR="0021627D" w:rsidRPr="00DD36D1" w:rsidRDefault="0021627D" w:rsidP="00B15FDE">
      <w:pPr>
        <w:pStyle w:val="ListParagraph"/>
        <w:numPr>
          <w:ilvl w:val="0"/>
          <w:numId w:val="10"/>
        </w:numPr>
        <w:autoSpaceDE w:val="0"/>
        <w:autoSpaceDN w:val="0"/>
        <w:adjustRightInd w:val="0"/>
        <w:rPr>
          <w:rFonts w:ascii="Arial" w:hAnsi="Arial" w:cs="Arial"/>
        </w:rPr>
      </w:pPr>
      <w:r w:rsidRPr="00DD36D1">
        <w:rPr>
          <w:rFonts w:ascii="Arial" w:hAnsi="Arial" w:cs="Arial"/>
          <w:bCs/>
        </w:rPr>
        <w:lastRenderedPageBreak/>
        <w:t>Homes and Communities Agency will work in partnership with Network Rail</w:t>
      </w:r>
      <w:r w:rsidR="00B81765" w:rsidRPr="00DD36D1">
        <w:rPr>
          <w:rFonts w:ascii="Arial" w:hAnsi="Arial" w:cs="Arial"/>
          <w:bCs/>
        </w:rPr>
        <w:t xml:space="preserve"> </w:t>
      </w:r>
      <w:r w:rsidRPr="00DD36D1">
        <w:rPr>
          <w:rFonts w:ascii="Arial" w:hAnsi="Arial" w:cs="Arial"/>
          <w:bCs/>
        </w:rPr>
        <w:t>and local authorities to provide land around stations for housing, commercial</w:t>
      </w:r>
      <w:r w:rsidR="00B81765" w:rsidRPr="00DD36D1">
        <w:rPr>
          <w:rFonts w:ascii="Arial" w:hAnsi="Arial" w:cs="Arial"/>
          <w:bCs/>
        </w:rPr>
        <w:t xml:space="preserve"> </w:t>
      </w:r>
      <w:r w:rsidRPr="00DD36D1">
        <w:rPr>
          <w:rFonts w:ascii="Arial" w:hAnsi="Arial" w:cs="Arial"/>
          <w:bCs/>
        </w:rPr>
        <w:t xml:space="preserve">development and regeneration. </w:t>
      </w:r>
      <w:r w:rsidRPr="00DD36D1">
        <w:rPr>
          <w:rFonts w:ascii="Arial" w:hAnsi="Arial" w:cs="Arial"/>
        </w:rPr>
        <w:t xml:space="preserve">The </w:t>
      </w:r>
      <w:r w:rsidR="00B81765" w:rsidRPr="00DD36D1">
        <w:rPr>
          <w:rFonts w:ascii="Arial" w:hAnsi="Arial" w:cs="Arial"/>
        </w:rPr>
        <w:t>g</w:t>
      </w:r>
      <w:r w:rsidRPr="00DD36D1">
        <w:rPr>
          <w:rFonts w:ascii="Arial" w:hAnsi="Arial" w:cs="Arial"/>
        </w:rPr>
        <w:t>overnment will set out shortly which sites will take</w:t>
      </w:r>
      <w:r w:rsidR="00B81765" w:rsidRPr="00DD36D1">
        <w:rPr>
          <w:rFonts w:ascii="Arial" w:hAnsi="Arial" w:cs="Arial"/>
        </w:rPr>
        <w:t xml:space="preserve"> </w:t>
      </w:r>
      <w:r w:rsidRPr="00DD36D1">
        <w:rPr>
          <w:rFonts w:ascii="Arial" w:hAnsi="Arial" w:cs="Arial"/>
        </w:rPr>
        <w:t>part in the scheme</w:t>
      </w:r>
    </w:p>
    <w:p w:rsidR="0021627D" w:rsidRPr="00DD36D1" w:rsidRDefault="0021627D" w:rsidP="0021627D">
      <w:pPr>
        <w:rPr>
          <w:rFonts w:ascii="Arial" w:hAnsi="Arial" w:cs="Arial"/>
        </w:rPr>
      </w:pPr>
    </w:p>
    <w:p w:rsidR="0021627D" w:rsidRPr="00DD36D1" w:rsidRDefault="0021627D" w:rsidP="00B15FDE">
      <w:pPr>
        <w:pStyle w:val="ListParagraph"/>
        <w:numPr>
          <w:ilvl w:val="0"/>
          <w:numId w:val="10"/>
        </w:numPr>
        <w:autoSpaceDE w:val="0"/>
        <w:autoSpaceDN w:val="0"/>
        <w:adjustRightInd w:val="0"/>
        <w:rPr>
          <w:rFonts w:ascii="Arial" w:hAnsi="Arial" w:cs="Arial"/>
        </w:rPr>
      </w:pPr>
      <w:r w:rsidRPr="00DD36D1">
        <w:rPr>
          <w:rFonts w:ascii="Arial" w:hAnsi="Arial" w:cs="Arial"/>
        </w:rPr>
        <w:t>On 1 March 2016 the government confirmed that</w:t>
      </w:r>
      <w:r w:rsidR="00E94061" w:rsidRPr="00DD36D1">
        <w:rPr>
          <w:rFonts w:ascii="Arial" w:hAnsi="Arial" w:cs="Arial"/>
        </w:rPr>
        <w:t xml:space="preserve"> </w:t>
      </w:r>
      <w:r w:rsidRPr="00DD36D1">
        <w:rPr>
          <w:rFonts w:ascii="Arial" w:hAnsi="Arial" w:cs="Arial"/>
        </w:rPr>
        <w:t>the date from which Local Housing Allowance caps apply to new tenancies in the supported</w:t>
      </w:r>
      <w:r w:rsidR="00E94061" w:rsidRPr="00DD36D1">
        <w:rPr>
          <w:rFonts w:ascii="Arial" w:hAnsi="Arial" w:cs="Arial"/>
        </w:rPr>
        <w:t xml:space="preserve"> </w:t>
      </w:r>
      <w:r w:rsidRPr="00DD36D1">
        <w:rPr>
          <w:rFonts w:ascii="Arial" w:hAnsi="Arial" w:cs="Arial"/>
        </w:rPr>
        <w:t>accommodation sector will be delayed by one year. It will now apply to tenancies in this sector</w:t>
      </w:r>
      <w:r w:rsidR="00E94061" w:rsidRPr="00DD36D1">
        <w:rPr>
          <w:rFonts w:ascii="Arial" w:hAnsi="Arial" w:cs="Arial"/>
        </w:rPr>
        <w:t xml:space="preserve"> </w:t>
      </w:r>
      <w:r w:rsidRPr="00DD36D1">
        <w:rPr>
          <w:rFonts w:ascii="Arial" w:hAnsi="Arial" w:cs="Arial"/>
        </w:rPr>
        <w:t xml:space="preserve">signed after 1 April 2017. </w:t>
      </w:r>
    </w:p>
    <w:p w:rsidR="00E94061" w:rsidRPr="00DD36D1" w:rsidRDefault="00E94061" w:rsidP="00E94061">
      <w:pPr>
        <w:autoSpaceDE w:val="0"/>
        <w:autoSpaceDN w:val="0"/>
        <w:adjustRightInd w:val="0"/>
        <w:rPr>
          <w:rFonts w:ascii="Arial" w:hAnsi="Arial" w:cs="Arial"/>
        </w:rPr>
      </w:pPr>
    </w:p>
    <w:p w:rsidR="0021627D" w:rsidRPr="00DD36D1" w:rsidRDefault="0021627D" w:rsidP="0021627D">
      <w:pPr>
        <w:rPr>
          <w:rFonts w:ascii="Arial" w:hAnsi="Arial" w:cs="Arial"/>
        </w:rPr>
      </w:pPr>
    </w:p>
    <w:p w:rsidR="0021627D" w:rsidRPr="00DD36D1" w:rsidRDefault="00B81765" w:rsidP="00B15FDE">
      <w:pPr>
        <w:pStyle w:val="ListParagraph"/>
        <w:numPr>
          <w:ilvl w:val="0"/>
          <w:numId w:val="10"/>
        </w:numPr>
        <w:autoSpaceDE w:val="0"/>
        <w:autoSpaceDN w:val="0"/>
        <w:adjustRightInd w:val="0"/>
        <w:rPr>
          <w:rFonts w:ascii="Arial" w:hAnsi="Arial" w:cs="Arial"/>
        </w:rPr>
      </w:pPr>
      <w:r w:rsidRPr="00DD36D1">
        <w:rPr>
          <w:rFonts w:ascii="Arial" w:hAnsi="Arial" w:cs="Arial"/>
          <w:bCs/>
        </w:rPr>
        <w:t>Allocation of a</w:t>
      </w:r>
      <w:r w:rsidR="0021627D" w:rsidRPr="00DD36D1">
        <w:rPr>
          <w:rFonts w:ascii="Arial" w:hAnsi="Arial" w:cs="Arial"/>
          <w:bCs/>
        </w:rPr>
        <w:t xml:space="preserve"> £50 million Pothole Action</w:t>
      </w:r>
      <w:r w:rsidR="00E94061" w:rsidRPr="00DD36D1">
        <w:rPr>
          <w:rFonts w:ascii="Arial" w:hAnsi="Arial" w:cs="Arial"/>
          <w:bCs/>
        </w:rPr>
        <w:t xml:space="preserve"> </w:t>
      </w:r>
      <w:r w:rsidR="0021627D" w:rsidRPr="00DD36D1">
        <w:rPr>
          <w:rFonts w:ascii="Arial" w:hAnsi="Arial" w:cs="Arial"/>
          <w:bCs/>
        </w:rPr>
        <w:t>Fund for England in 2016-17</w:t>
      </w:r>
      <w:r w:rsidR="0021627D" w:rsidRPr="00DD36D1">
        <w:rPr>
          <w:rFonts w:ascii="Arial" w:hAnsi="Arial" w:cs="Arial"/>
        </w:rPr>
        <w:t xml:space="preserve">, enabling local authorities to fill nearly a million </w:t>
      </w:r>
      <w:proofErr w:type="spellStart"/>
      <w:r w:rsidR="0021627D" w:rsidRPr="00DD36D1">
        <w:rPr>
          <w:rFonts w:ascii="Arial" w:hAnsi="Arial" w:cs="Arial"/>
        </w:rPr>
        <w:t>potholes.The</w:t>
      </w:r>
      <w:proofErr w:type="spellEnd"/>
      <w:r w:rsidR="0021627D" w:rsidRPr="00DD36D1">
        <w:rPr>
          <w:rFonts w:ascii="Arial" w:hAnsi="Arial" w:cs="Arial"/>
        </w:rPr>
        <w:t xml:space="preserve"> government will also provide a further £130 million to repair roads and bridges damaged by</w:t>
      </w:r>
      <w:r w:rsidR="00E94061" w:rsidRPr="00DD36D1">
        <w:rPr>
          <w:rFonts w:ascii="Arial" w:hAnsi="Arial" w:cs="Arial"/>
        </w:rPr>
        <w:t xml:space="preserve"> </w:t>
      </w:r>
      <w:r w:rsidR="0021627D" w:rsidRPr="00DD36D1">
        <w:rPr>
          <w:rFonts w:ascii="Arial" w:hAnsi="Arial" w:cs="Arial"/>
        </w:rPr>
        <w:t>Storms Desmond and Eva.</w:t>
      </w:r>
      <w:r w:rsidR="00E94061" w:rsidRPr="00DD36D1">
        <w:rPr>
          <w:rFonts w:ascii="Arial" w:hAnsi="Arial" w:cs="Arial"/>
          <w:bCs/>
        </w:rPr>
        <w:t xml:space="preserve"> </w:t>
      </w:r>
      <w:r w:rsidRPr="00DD36D1">
        <w:rPr>
          <w:rFonts w:ascii="Arial" w:hAnsi="Arial" w:cs="Arial"/>
          <w:bCs/>
        </w:rPr>
        <w:t>(</w:t>
      </w:r>
      <w:r w:rsidR="00E94061" w:rsidRPr="00DD36D1">
        <w:rPr>
          <w:rFonts w:ascii="Arial" w:hAnsi="Arial" w:cs="Arial"/>
          <w:bCs/>
        </w:rPr>
        <w:t>1.239</w:t>
      </w:r>
      <w:r w:rsidRPr="00DD36D1">
        <w:rPr>
          <w:rFonts w:ascii="Arial" w:hAnsi="Arial" w:cs="Arial"/>
          <w:bCs/>
        </w:rPr>
        <w:t>)</w:t>
      </w:r>
    </w:p>
    <w:p w:rsidR="0021627D" w:rsidRPr="00DD36D1" w:rsidRDefault="0021627D" w:rsidP="0021627D">
      <w:pPr>
        <w:rPr>
          <w:rFonts w:ascii="Arial" w:hAnsi="Arial" w:cs="Arial"/>
        </w:rPr>
      </w:pPr>
    </w:p>
    <w:p w:rsidR="0021627D" w:rsidRPr="00B15FDE" w:rsidRDefault="0021627D" w:rsidP="00B15FDE">
      <w:pPr>
        <w:pStyle w:val="ListParagraph"/>
        <w:numPr>
          <w:ilvl w:val="0"/>
          <w:numId w:val="10"/>
        </w:numPr>
        <w:autoSpaceDE w:val="0"/>
        <w:autoSpaceDN w:val="0"/>
        <w:adjustRightInd w:val="0"/>
        <w:rPr>
          <w:rFonts w:ascii="Arial" w:hAnsi="Arial" w:cs="Arial"/>
          <w:bCs/>
        </w:rPr>
      </w:pPr>
      <w:r w:rsidRPr="00DD36D1">
        <w:rPr>
          <w:rFonts w:ascii="Arial" w:hAnsi="Arial" w:cs="Arial"/>
        </w:rPr>
        <w:t>The government wants to ensure the £60 billion local authorities spend to procure</w:t>
      </w:r>
      <w:r w:rsidR="00B15FDE" w:rsidRPr="00DD36D1">
        <w:rPr>
          <w:rFonts w:ascii="Arial" w:hAnsi="Arial" w:cs="Arial"/>
        </w:rPr>
        <w:t xml:space="preserve"> </w:t>
      </w:r>
      <w:r w:rsidR="00E94061" w:rsidRPr="00DD36D1">
        <w:rPr>
          <w:rFonts w:ascii="Arial" w:hAnsi="Arial" w:cs="Arial"/>
        </w:rPr>
        <w:t>S</w:t>
      </w:r>
      <w:r w:rsidRPr="00DD36D1">
        <w:rPr>
          <w:rFonts w:ascii="Arial" w:hAnsi="Arial" w:cs="Arial"/>
        </w:rPr>
        <w:t>ervices</w:t>
      </w:r>
      <w:r w:rsidR="00E94061" w:rsidRPr="00DD36D1">
        <w:rPr>
          <w:rFonts w:ascii="Arial" w:hAnsi="Arial" w:cs="Arial"/>
        </w:rPr>
        <w:t xml:space="preserve"> </w:t>
      </w:r>
      <w:r w:rsidRPr="00DD36D1">
        <w:rPr>
          <w:rFonts w:ascii="Arial" w:hAnsi="Arial" w:cs="Arial"/>
        </w:rPr>
        <w:t xml:space="preserve"> is done in an efficient and competitive</w:t>
      </w:r>
      <w:r w:rsidRPr="00B15FDE">
        <w:rPr>
          <w:rFonts w:ascii="Arial" w:hAnsi="Arial" w:cs="Arial"/>
        </w:rPr>
        <w:t xml:space="preserve"> way. </w:t>
      </w:r>
      <w:r w:rsidRPr="00B15FDE">
        <w:rPr>
          <w:rFonts w:ascii="Arial" w:hAnsi="Arial" w:cs="Arial"/>
          <w:bCs/>
        </w:rPr>
        <w:t>The government will consult on</w:t>
      </w:r>
      <w:r w:rsidR="00B15FDE" w:rsidRPr="00B15FDE">
        <w:rPr>
          <w:rFonts w:ascii="Arial" w:hAnsi="Arial" w:cs="Arial"/>
          <w:bCs/>
        </w:rPr>
        <w:t xml:space="preserve"> </w:t>
      </w:r>
      <w:r w:rsidRPr="00B15FDE">
        <w:rPr>
          <w:rFonts w:ascii="Arial" w:hAnsi="Arial" w:cs="Arial"/>
          <w:bCs/>
        </w:rPr>
        <w:t>new rules requiring local authorities to be transparent about the cost of the in</w:t>
      </w:r>
      <w:r w:rsidR="00E94061" w:rsidRPr="00B15FDE">
        <w:rPr>
          <w:rFonts w:ascii="Arial" w:hAnsi="Arial" w:cs="Arial"/>
          <w:bCs/>
        </w:rPr>
        <w:t xml:space="preserve"> </w:t>
      </w:r>
      <w:r w:rsidRPr="00B15FDE">
        <w:rPr>
          <w:rFonts w:ascii="Arial" w:hAnsi="Arial" w:cs="Arial"/>
          <w:bCs/>
        </w:rPr>
        <w:t>house</w:t>
      </w:r>
      <w:r w:rsidR="00B15FDE">
        <w:rPr>
          <w:rFonts w:ascii="Arial" w:hAnsi="Arial" w:cs="Arial"/>
          <w:bCs/>
        </w:rPr>
        <w:t xml:space="preserve"> </w:t>
      </w:r>
      <w:r w:rsidRPr="00B15FDE">
        <w:rPr>
          <w:rFonts w:ascii="Arial" w:hAnsi="Arial" w:cs="Arial"/>
          <w:bCs/>
        </w:rPr>
        <w:t>services they</w:t>
      </w:r>
      <w:r w:rsidR="00E94061" w:rsidRPr="00B15FDE">
        <w:rPr>
          <w:rFonts w:ascii="Arial" w:hAnsi="Arial" w:cs="Arial"/>
          <w:bCs/>
        </w:rPr>
        <w:t xml:space="preserve"> use.</w:t>
      </w:r>
    </w:p>
    <w:p w:rsidR="0021627D" w:rsidRPr="00B81765" w:rsidRDefault="0021627D" w:rsidP="0021627D">
      <w:pPr>
        <w:rPr>
          <w:rFonts w:ascii="Arial" w:hAnsi="Arial" w:cs="Arial"/>
        </w:rPr>
      </w:pPr>
    </w:p>
    <w:p w:rsidR="0021627D" w:rsidRPr="00B15FDE" w:rsidRDefault="0021627D" w:rsidP="00B15FDE">
      <w:pPr>
        <w:pStyle w:val="ListParagraph"/>
        <w:numPr>
          <w:ilvl w:val="0"/>
          <w:numId w:val="10"/>
        </w:numPr>
        <w:autoSpaceDE w:val="0"/>
        <w:autoSpaceDN w:val="0"/>
        <w:adjustRightInd w:val="0"/>
        <w:rPr>
          <w:rFonts w:ascii="Arial" w:hAnsi="Arial" w:cs="Arial"/>
          <w:bCs/>
        </w:rPr>
      </w:pPr>
      <w:r w:rsidRPr="00B15FDE">
        <w:rPr>
          <w:rFonts w:ascii="Arial" w:hAnsi="Arial" w:cs="Arial"/>
          <w:bCs/>
        </w:rPr>
        <w:t>The</w:t>
      </w:r>
      <w:r w:rsidR="00E94061" w:rsidRPr="00B15FDE">
        <w:rPr>
          <w:rFonts w:ascii="Arial" w:hAnsi="Arial" w:cs="Arial"/>
          <w:bCs/>
        </w:rPr>
        <w:t xml:space="preserve"> </w:t>
      </w:r>
      <w:r w:rsidRPr="00B15FDE">
        <w:rPr>
          <w:rFonts w:ascii="Arial" w:hAnsi="Arial" w:cs="Arial"/>
          <w:bCs/>
        </w:rPr>
        <w:t>government is now announcing further steps in the allocation of the Local Growth</w:t>
      </w:r>
    </w:p>
    <w:p w:rsidR="0021627D" w:rsidRPr="00B15FDE" w:rsidRDefault="0021627D" w:rsidP="00B15FDE">
      <w:pPr>
        <w:pStyle w:val="ListParagraph"/>
        <w:rPr>
          <w:rFonts w:ascii="Arial" w:hAnsi="Arial" w:cs="Arial"/>
          <w:bCs/>
        </w:rPr>
      </w:pPr>
      <w:r w:rsidRPr="00B15FDE">
        <w:rPr>
          <w:rFonts w:ascii="Arial" w:hAnsi="Arial" w:cs="Arial"/>
          <w:bCs/>
        </w:rPr>
        <w:t>Fund, including:</w:t>
      </w:r>
    </w:p>
    <w:p w:rsidR="0021627D" w:rsidRPr="00B15FDE" w:rsidRDefault="0021627D" w:rsidP="00B15FDE">
      <w:pPr>
        <w:pStyle w:val="ListParagraph"/>
        <w:numPr>
          <w:ilvl w:val="1"/>
          <w:numId w:val="10"/>
        </w:numPr>
        <w:autoSpaceDE w:val="0"/>
        <w:autoSpaceDN w:val="0"/>
        <w:adjustRightInd w:val="0"/>
        <w:rPr>
          <w:rFonts w:ascii="Arial" w:hAnsi="Arial" w:cs="Arial"/>
          <w:bCs/>
        </w:rPr>
      </w:pPr>
      <w:r w:rsidRPr="00B15FDE">
        <w:rPr>
          <w:rFonts w:ascii="Arial" w:hAnsi="Arial" w:cs="Arial"/>
          <w:bCs/>
        </w:rPr>
        <w:t>up to £1.8 billion will be allocated through a further round of Growth Deals with</w:t>
      </w:r>
    </w:p>
    <w:p w:rsidR="0021627D" w:rsidRPr="00B15FDE" w:rsidRDefault="0021627D" w:rsidP="00B15FDE">
      <w:pPr>
        <w:pStyle w:val="ListParagraph"/>
        <w:numPr>
          <w:ilvl w:val="1"/>
          <w:numId w:val="10"/>
        </w:numPr>
        <w:autoSpaceDE w:val="0"/>
        <w:autoSpaceDN w:val="0"/>
        <w:adjustRightInd w:val="0"/>
        <w:rPr>
          <w:rFonts w:ascii="Arial" w:hAnsi="Arial" w:cs="Arial"/>
        </w:rPr>
      </w:pPr>
      <w:r w:rsidRPr="00B15FDE">
        <w:rPr>
          <w:rFonts w:ascii="Arial" w:hAnsi="Arial" w:cs="Arial"/>
          <w:bCs/>
        </w:rPr>
        <w:t xml:space="preserve">Local Enterprise Partnerships later this year. </w:t>
      </w:r>
      <w:r w:rsidRPr="00B15FDE">
        <w:rPr>
          <w:rFonts w:ascii="Arial" w:hAnsi="Arial" w:cs="Arial"/>
        </w:rPr>
        <w:t>The government will announce further</w:t>
      </w:r>
    </w:p>
    <w:p w:rsidR="0021627D" w:rsidRPr="00B15FDE" w:rsidRDefault="0021627D" w:rsidP="00B15FDE">
      <w:pPr>
        <w:pStyle w:val="ListParagraph"/>
        <w:numPr>
          <w:ilvl w:val="1"/>
          <w:numId w:val="10"/>
        </w:numPr>
        <w:autoSpaceDE w:val="0"/>
        <w:autoSpaceDN w:val="0"/>
        <w:adjustRightInd w:val="0"/>
        <w:rPr>
          <w:rFonts w:ascii="Arial" w:hAnsi="Arial" w:cs="Arial"/>
        </w:rPr>
      </w:pPr>
      <w:r w:rsidRPr="00B15FDE">
        <w:rPr>
          <w:rFonts w:ascii="Arial" w:hAnsi="Arial" w:cs="Arial"/>
        </w:rPr>
        <w:t>detail on the process for the next round of Growth Deals soon</w:t>
      </w:r>
    </w:p>
    <w:p w:rsidR="0021627D" w:rsidRPr="00B15FDE" w:rsidRDefault="0021627D" w:rsidP="00B15FDE">
      <w:pPr>
        <w:pStyle w:val="ListParagraph"/>
        <w:numPr>
          <w:ilvl w:val="1"/>
          <w:numId w:val="10"/>
        </w:numPr>
        <w:autoSpaceDE w:val="0"/>
        <w:autoSpaceDN w:val="0"/>
        <w:adjustRightInd w:val="0"/>
        <w:rPr>
          <w:rFonts w:ascii="Arial" w:hAnsi="Arial" w:cs="Arial"/>
          <w:bCs/>
        </w:rPr>
      </w:pPr>
      <w:r w:rsidRPr="00B15FDE">
        <w:rPr>
          <w:rFonts w:ascii="Arial" w:hAnsi="Arial" w:cs="Arial"/>
          <w:bCs/>
        </w:rPr>
        <w:t>a further £2 billion of the Local Growth Fund is being allocated through the Home</w:t>
      </w:r>
    </w:p>
    <w:p w:rsidR="0021627D" w:rsidRPr="00B15FDE" w:rsidRDefault="0021627D" w:rsidP="00B15FDE">
      <w:pPr>
        <w:pStyle w:val="ListParagraph"/>
        <w:numPr>
          <w:ilvl w:val="1"/>
          <w:numId w:val="10"/>
        </w:numPr>
        <w:autoSpaceDE w:val="0"/>
        <w:autoSpaceDN w:val="0"/>
        <w:adjustRightInd w:val="0"/>
        <w:rPr>
          <w:rFonts w:ascii="Arial" w:hAnsi="Arial" w:cs="Arial"/>
        </w:rPr>
      </w:pPr>
      <w:r w:rsidRPr="00B15FDE">
        <w:rPr>
          <w:rFonts w:ascii="Arial" w:hAnsi="Arial" w:cs="Arial"/>
          <w:bCs/>
        </w:rPr>
        <w:t xml:space="preserve">Building Fund. </w:t>
      </w:r>
      <w:r w:rsidRPr="00B15FDE">
        <w:rPr>
          <w:rFonts w:ascii="Arial" w:hAnsi="Arial" w:cs="Arial"/>
        </w:rPr>
        <w:t>This programme provides finance to developers to unlock large housing</w:t>
      </w:r>
    </w:p>
    <w:p w:rsidR="0021627D" w:rsidRPr="00B15FDE" w:rsidRDefault="0021627D" w:rsidP="00B15FDE">
      <w:pPr>
        <w:pStyle w:val="ListParagraph"/>
        <w:numPr>
          <w:ilvl w:val="1"/>
          <w:numId w:val="10"/>
        </w:numPr>
        <w:autoSpaceDE w:val="0"/>
        <w:autoSpaceDN w:val="0"/>
        <w:adjustRightInd w:val="0"/>
        <w:rPr>
          <w:rFonts w:ascii="Arial" w:hAnsi="Arial" w:cs="Arial"/>
        </w:rPr>
      </w:pPr>
      <w:r w:rsidRPr="00B15FDE">
        <w:rPr>
          <w:rFonts w:ascii="Arial" w:hAnsi="Arial" w:cs="Arial"/>
        </w:rPr>
        <w:t>sites and</w:t>
      </w:r>
      <w:r w:rsidRPr="00B15FDE">
        <w:rPr>
          <w:rFonts w:ascii="Arial" w:hAnsi="Arial" w:cs="Arial"/>
        </w:rPr>
        <w:t xml:space="preserve"> </w:t>
      </w:r>
      <w:r w:rsidRPr="00B15FDE">
        <w:rPr>
          <w:rFonts w:ascii="Arial" w:hAnsi="Arial" w:cs="Arial"/>
        </w:rPr>
        <w:t>bring forward the necessary infrastructure that large house building projec</w:t>
      </w:r>
      <w:r w:rsidR="00E94061" w:rsidRPr="00B15FDE">
        <w:rPr>
          <w:rFonts w:ascii="Arial" w:hAnsi="Arial" w:cs="Arial"/>
        </w:rPr>
        <w:t xml:space="preserve">ts </w:t>
      </w:r>
      <w:r w:rsidRPr="00B15FDE">
        <w:rPr>
          <w:rFonts w:ascii="Arial" w:hAnsi="Arial" w:cs="Arial"/>
        </w:rPr>
        <w:t>require</w:t>
      </w:r>
      <w:r w:rsidRPr="00B15FDE">
        <w:rPr>
          <w:rFonts w:ascii="Arial" w:hAnsi="Arial" w:cs="Arial"/>
        </w:rPr>
        <w:t xml:space="preserve"> </w:t>
      </w:r>
    </w:p>
    <w:p w:rsidR="0021627D" w:rsidRPr="00B81765" w:rsidRDefault="0021627D" w:rsidP="0021627D">
      <w:pPr>
        <w:autoSpaceDE w:val="0"/>
        <w:autoSpaceDN w:val="0"/>
        <w:adjustRightInd w:val="0"/>
        <w:rPr>
          <w:rFonts w:ascii="Arial" w:hAnsi="Arial" w:cs="Arial"/>
        </w:rPr>
      </w:pPr>
    </w:p>
    <w:p w:rsidR="0021627D" w:rsidRPr="00B15FDE" w:rsidRDefault="0021627D" w:rsidP="00B15FDE">
      <w:pPr>
        <w:pStyle w:val="ListParagraph"/>
        <w:numPr>
          <w:ilvl w:val="0"/>
          <w:numId w:val="10"/>
        </w:numPr>
        <w:autoSpaceDE w:val="0"/>
        <w:autoSpaceDN w:val="0"/>
        <w:adjustRightInd w:val="0"/>
        <w:rPr>
          <w:rFonts w:ascii="Arial" w:hAnsi="Arial" w:cs="Arial"/>
        </w:rPr>
      </w:pPr>
      <w:r w:rsidRPr="00B15FDE">
        <w:rPr>
          <w:rFonts w:ascii="Arial" w:hAnsi="Arial" w:cs="Arial"/>
        </w:rPr>
        <w:t>The go</w:t>
      </w:r>
      <w:r w:rsidR="00E94061" w:rsidRPr="00B15FDE">
        <w:rPr>
          <w:rFonts w:ascii="Arial" w:hAnsi="Arial" w:cs="Arial"/>
        </w:rPr>
        <w:t xml:space="preserve">vernment has received </w:t>
      </w:r>
      <w:r w:rsidRPr="00B15FDE">
        <w:rPr>
          <w:rFonts w:ascii="Arial" w:hAnsi="Arial" w:cs="Arial"/>
        </w:rPr>
        <w:t>proposals from Local Government Pension</w:t>
      </w:r>
      <w:r w:rsidR="00E94061" w:rsidRPr="00B15FDE">
        <w:rPr>
          <w:rFonts w:ascii="Arial" w:hAnsi="Arial" w:cs="Arial"/>
        </w:rPr>
        <w:t xml:space="preserve"> </w:t>
      </w:r>
      <w:r w:rsidRPr="00B15FDE">
        <w:rPr>
          <w:rFonts w:ascii="Arial" w:hAnsi="Arial" w:cs="Arial"/>
        </w:rPr>
        <w:t xml:space="preserve">Scheme administering authorities </w:t>
      </w:r>
      <w:r w:rsidRPr="00B15FDE">
        <w:rPr>
          <w:rFonts w:ascii="Arial" w:hAnsi="Arial" w:cs="Arial"/>
          <w:bCs/>
        </w:rPr>
        <w:t>to establish a small number of British Wealth Funds</w:t>
      </w:r>
      <w:r w:rsidR="00E94061" w:rsidRPr="00B15FDE">
        <w:rPr>
          <w:rFonts w:ascii="Arial" w:hAnsi="Arial" w:cs="Arial"/>
          <w:bCs/>
        </w:rPr>
        <w:t xml:space="preserve"> </w:t>
      </w:r>
      <w:r w:rsidRPr="00B15FDE">
        <w:rPr>
          <w:rFonts w:ascii="Arial" w:hAnsi="Arial" w:cs="Arial"/>
          <w:bCs/>
        </w:rPr>
        <w:t>across the country by combining their assets into much larger investment pools.</w:t>
      </w:r>
      <w:r w:rsidR="00E94061" w:rsidRPr="00B15FDE">
        <w:rPr>
          <w:rFonts w:ascii="Arial" w:hAnsi="Arial" w:cs="Arial"/>
          <w:bCs/>
        </w:rPr>
        <w:t xml:space="preserve"> </w:t>
      </w:r>
      <w:r w:rsidRPr="00B15FDE">
        <w:rPr>
          <w:rFonts w:ascii="Arial" w:hAnsi="Arial" w:cs="Arial"/>
        </w:rPr>
        <w:t>These pools will deliver annual savings of at least £200-300 milli</w:t>
      </w:r>
      <w:r w:rsidR="00E94061" w:rsidRPr="00B15FDE">
        <w:rPr>
          <w:rFonts w:ascii="Arial" w:hAnsi="Arial" w:cs="Arial"/>
        </w:rPr>
        <w:t xml:space="preserve">on. Government </w:t>
      </w:r>
      <w:r w:rsidRPr="00B15FDE">
        <w:rPr>
          <w:rFonts w:ascii="Arial" w:hAnsi="Arial" w:cs="Arial"/>
        </w:rPr>
        <w:t xml:space="preserve"> will work with</w:t>
      </w:r>
      <w:r w:rsidR="00E94061" w:rsidRPr="00B15FDE">
        <w:rPr>
          <w:rFonts w:ascii="Arial" w:hAnsi="Arial" w:cs="Arial"/>
        </w:rPr>
        <w:t xml:space="preserve"> </w:t>
      </w:r>
      <w:r w:rsidRPr="00B15FDE">
        <w:rPr>
          <w:rFonts w:ascii="Arial" w:hAnsi="Arial" w:cs="Arial"/>
        </w:rPr>
        <w:t xml:space="preserve">administering authorities to establish a new Local Government Pension Scheme </w:t>
      </w:r>
      <w:r w:rsidR="00E94061" w:rsidRPr="00B15FDE">
        <w:rPr>
          <w:rFonts w:ascii="Arial" w:hAnsi="Arial" w:cs="Arial"/>
        </w:rPr>
        <w:t xml:space="preserve"> i</w:t>
      </w:r>
      <w:r w:rsidRPr="00B15FDE">
        <w:rPr>
          <w:rFonts w:ascii="Arial" w:hAnsi="Arial" w:cs="Arial"/>
        </w:rPr>
        <w:t>nfrastructure</w:t>
      </w:r>
      <w:r w:rsidR="00E94061" w:rsidRPr="00B15FDE">
        <w:rPr>
          <w:rFonts w:ascii="Arial" w:hAnsi="Arial" w:cs="Arial"/>
        </w:rPr>
        <w:t xml:space="preserve"> </w:t>
      </w:r>
      <w:r w:rsidRPr="00B15FDE">
        <w:rPr>
          <w:rFonts w:ascii="Arial" w:hAnsi="Arial" w:cs="Arial"/>
        </w:rPr>
        <w:t>investme</w:t>
      </w:r>
      <w:r w:rsidR="00E94061" w:rsidRPr="00B15FDE">
        <w:rPr>
          <w:rFonts w:ascii="Arial" w:hAnsi="Arial" w:cs="Arial"/>
        </w:rPr>
        <w:t xml:space="preserve">nt platform, in line with </w:t>
      </w:r>
      <w:r w:rsidRPr="00B15FDE">
        <w:rPr>
          <w:rFonts w:ascii="Arial" w:hAnsi="Arial" w:cs="Arial"/>
        </w:rPr>
        <w:t>proposals, to boost infrastructure investment.</w:t>
      </w:r>
      <w:r w:rsidR="00E94061" w:rsidRPr="00B15FDE">
        <w:rPr>
          <w:rFonts w:ascii="Arial" w:hAnsi="Arial" w:cs="Arial"/>
          <w:bCs/>
        </w:rPr>
        <w:t xml:space="preserve"> </w:t>
      </w:r>
      <w:r w:rsidR="00B81765" w:rsidRPr="00B15FDE">
        <w:rPr>
          <w:rFonts w:ascii="Arial" w:hAnsi="Arial" w:cs="Arial"/>
          <w:bCs/>
        </w:rPr>
        <w:t>(</w:t>
      </w:r>
      <w:r w:rsidR="00E94061" w:rsidRPr="00B15FDE">
        <w:rPr>
          <w:rFonts w:ascii="Arial" w:hAnsi="Arial" w:cs="Arial"/>
          <w:bCs/>
        </w:rPr>
        <w:t>1.284</w:t>
      </w:r>
      <w:r w:rsidR="00B81765" w:rsidRPr="00B15FDE">
        <w:rPr>
          <w:rFonts w:ascii="Arial" w:hAnsi="Arial" w:cs="Arial"/>
          <w:bCs/>
        </w:rPr>
        <w:t>)</w:t>
      </w:r>
    </w:p>
    <w:p w:rsidR="0021627D" w:rsidRPr="00B81765" w:rsidRDefault="0021627D" w:rsidP="0021627D">
      <w:pPr>
        <w:autoSpaceDE w:val="0"/>
        <w:autoSpaceDN w:val="0"/>
        <w:adjustRightInd w:val="0"/>
        <w:rPr>
          <w:rFonts w:ascii="Arial" w:hAnsi="Arial" w:cs="Arial"/>
        </w:rPr>
      </w:pPr>
    </w:p>
    <w:p w:rsidR="0021627D" w:rsidRPr="00B15FDE" w:rsidRDefault="0021627D" w:rsidP="00B15FDE">
      <w:pPr>
        <w:pStyle w:val="ListParagraph"/>
        <w:numPr>
          <w:ilvl w:val="0"/>
          <w:numId w:val="10"/>
        </w:numPr>
        <w:autoSpaceDE w:val="0"/>
        <w:autoSpaceDN w:val="0"/>
        <w:adjustRightInd w:val="0"/>
        <w:rPr>
          <w:rFonts w:ascii="Arial" w:hAnsi="Arial" w:cs="Arial"/>
        </w:rPr>
      </w:pPr>
      <w:r w:rsidRPr="00B15FDE">
        <w:rPr>
          <w:rFonts w:ascii="Arial" w:hAnsi="Arial" w:cs="Arial"/>
          <w:bCs/>
        </w:rPr>
        <w:t>The government will work</w:t>
      </w:r>
      <w:r w:rsidR="00E94061" w:rsidRPr="00B15FDE">
        <w:rPr>
          <w:rFonts w:ascii="Arial" w:hAnsi="Arial" w:cs="Arial"/>
          <w:bCs/>
        </w:rPr>
        <w:t xml:space="preserve"> </w:t>
      </w:r>
      <w:r w:rsidRPr="00B15FDE">
        <w:rPr>
          <w:rFonts w:ascii="Arial" w:hAnsi="Arial" w:cs="Arial"/>
          <w:bCs/>
        </w:rPr>
        <w:t>with Greater Manchester on the devolution of powers over criminal justice services,</w:t>
      </w:r>
      <w:r w:rsidR="00E94061" w:rsidRPr="00B15FDE">
        <w:rPr>
          <w:rFonts w:ascii="Arial" w:hAnsi="Arial" w:cs="Arial"/>
          <w:bCs/>
        </w:rPr>
        <w:t xml:space="preserve"> </w:t>
      </w:r>
      <w:r w:rsidRPr="00B15FDE">
        <w:rPr>
          <w:rFonts w:ascii="Arial" w:hAnsi="Arial" w:cs="Arial"/>
          <w:bCs/>
        </w:rPr>
        <w:t xml:space="preserve">as well as supporting the establishment of a Life Chances Investment Fund. </w:t>
      </w:r>
      <w:r w:rsidR="00B81765" w:rsidRPr="00B15FDE">
        <w:rPr>
          <w:rFonts w:ascii="Arial" w:hAnsi="Arial" w:cs="Arial"/>
          <w:bCs/>
        </w:rPr>
        <w:t>(</w:t>
      </w:r>
      <w:r w:rsidR="00E94061" w:rsidRPr="00B15FDE">
        <w:rPr>
          <w:rFonts w:ascii="Arial" w:hAnsi="Arial" w:cs="Arial"/>
          <w:bCs/>
        </w:rPr>
        <w:t>1.293</w:t>
      </w:r>
      <w:r w:rsidR="00B81765" w:rsidRPr="00B15FDE">
        <w:rPr>
          <w:rFonts w:ascii="Arial" w:hAnsi="Arial" w:cs="Arial"/>
          <w:bCs/>
        </w:rPr>
        <w:t>)</w:t>
      </w:r>
    </w:p>
    <w:p w:rsidR="0021627D" w:rsidRPr="00B81765" w:rsidRDefault="0021627D" w:rsidP="0021627D">
      <w:pPr>
        <w:rPr>
          <w:rFonts w:ascii="Arial" w:hAnsi="Arial" w:cs="Arial"/>
          <w:color w:val="943634" w:themeColor="accent2" w:themeShade="BF"/>
        </w:rPr>
      </w:pPr>
    </w:p>
    <w:p w:rsidR="0021627D" w:rsidRPr="00B15FDE" w:rsidRDefault="0021627D" w:rsidP="00B15FDE">
      <w:pPr>
        <w:pStyle w:val="ListParagraph"/>
        <w:numPr>
          <w:ilvl w:val="0"/>
          <w:numId w:val="10"/>
        </w:numPr>
        <w:autoSpaceDE w:val="0"/>
        <w:autoSpaceDN w:val="0"/>
        <w:adjustRightInd w:val="0"/>
        <w:rPr>
          <w:rFonts w:ascii="Arial" w:hAnsi="Arial" w:cs="Arial"/>
        </w:rPr>
      </w:pPr>
      <w:r w:rsidRPr="00B15FDE">
        <w:rPr>
          <w:rFonts w:ascii="Arial" w:hAnsi="Arial" w:cs="Arial"/>
          <w:bCs/>
        </w:rPr>
        <w:t>The government has agreed another mayoral devolution deal with Liverpool</w:t>
      </w:r>
      <w:r w:rsidR="00B81765" w:rsidRPr="00B15FDE">
        <w:rPr>
          <w:rFonts w:ascii="Arial" w:hAnsi="Arial" w:cs="Arial"/>
          <w:bCs/>
        </w:rPr>
        <w:t xml:space="preserve"> </w:t>
      </w:r>
      <w:r w:rsidRPr="00B15FDE">
        <w:rPr>
          <w:rFonts w:ascii="Arial" w:hAnsi="Arial" w:cs="Arial"/>
          <w:bCs/>
        </w:rPr>
        <w:t xml:space="preserve">City Region. </w:t>
      </w:r>
      <w:r w:rsidRPr="00B15FDE">
        <w:rPr>
          <w:rFonts w:ascii="Arial" w:hAnsi="Arial" w:cs="Arial"/>
        </w:rPr>
        <w:t>This builds upon Liverpool’s mayoral deal on 17 November 2015, and gives</w:t>
      </w:r>
      <w:r w:rsidR="00B81765" w:rsidRPr="00B15FDE">
        <w:rPr>
          <w:rFonts w:ascii="Arial" w:hAnsi="Arial" w:cs="Arial"/>
        </w:rPr>
        <w:t xml:space="preserve"> </w:t>
      </w:r>
      <w:r w:rsidRPr="00B15FDE">
        <w:rPr>
          <w:rFonts w:ascii="Arial" w:hAnsi="Arial" w:cs="Arial"/>
        </w:rPr>
        <w:t>Liverpool additional new powers over transport, pilots the approach to 100% business rate</w:t>
      </w:r>
      <w:r w:rsidR="00B81765" w:rsidRPr="00B15FDE">
        <w:rPr>
          <w:rFonts w:ascii="Arial" w:hAnsi="Arial" w:cs="Arial"/>
        </w:rPr>
        <w:t xml:space="preserve"> </w:t>
      </w:r>
      <w:r w:rsidRPr="00B15FDE">
        <w:rPr>
          <w:rFonts w:ascii="Arial" w:hAnsi="Arial" w:cs="Arial"/>
        </w:rPr>
        <w:t>retention across the city region, and commits the city region and government to work together</w:t>
      </w:r>
      <w:r w:rsidR="00B81765" w:rsidRPr="00B15FDE">
        <w:rPr>
          <w:rFonts w:ascii="Arial" w:hAnsi="Arial" w:cs="Arial"/>
        </w:rPr>
        <w:t xml:space="preserve"> </w:t>
      </w:r>
      <w:r w:rsidRPr="00B15FDE">
        <w:rPr>
          <w:rFonts w:ascii="Arial" w:hAnsi="Arial" w:cs="Arial"/>
        </w:rPr>
        <w:t>on children’s services, health, housing and justice.</w:t>
      </w:r>
      <w:r w:rsidR="00E94061" w:rsidRPr="00B15FDE">
        <w:rPr>
          <w:rFonts w:ascii="Arial" w:hAnsi="Arial" w:cs="Arial"/>
          <w:bCs/>
        </w:rPr>
        <w:t xml:space="preserve"> </w:t>
      </w:r>
      <w:r w:rsidR="00B81765" w:rsidRPr="00B15FDE">
        <w:rPr>
          <w:rFonts w:ascii="Arial" w:hAnsi="Arial" w:cs="Arial"/>
          <w:bCs/>
        </w:rPr>
        <w:t>(</w:t>
      </w:r>
      <w:r w:rsidR="00E94061" w:rsidRPr="00B15FDE">
        <w:rPr>
          <w:rFonts w:ascii="Arial" w:hAnsi="Arial" w:cs="Arial"/>
          <w:bCs/>
        </w:rPr>
        <w:t>1.294</w:t>
      </w:r>
      <w:r w:rsidR="00B81765" w:rsidRPr="00B15FDE">
        <w:rPr>
          <w:rFonts w:ascii="Arial" w:hAnsi="Arial" w:cs="Arial"/>
          <w:bCs/>
        </w:rPr>
        <w:t>)</w:t>
      </w:r>
    </w:p>
    <w:p w:rsidR="0021627D" w:rsidRPr="00B15FDE" w:rsidRDefault="0021627D" w:rsidP="0021627D">
      <w:pPr>
        <w:rPr>
          <w:rFonts w:ascii="Arial" w:hAnsi="Arial" w:cs="Arial"/>
        </w:rPr>
      </w:pPr>
    </w:p>
    <w:p w:rsidR="0021627D" w:rsidRPr="00B15FDE" w:rsidRDefault="009C64DC" w:rsidP="00B15FDE">
      <w:pPr>
        <w:pStyle w:val="ListParagraph"/>
        <w:numPr>
          <w:ilvl w:val="0"/>
          <w:numId w:val="10"/>
        </w:numPr>
        <w:autoSpaceDE w:val="0"/>
        <w:autoSpaceDN w:val="0"/>
        <w:adjustRightInd w:val="0"/>
        <w:rPr>
          <w:rFonts w:ascii="Arial" w:hAnsi="Arial" w:cs="Arial"/>
        </w:rPr>
      </w:pPr>
      <w:r w:rsidRPr="00B15FDE">
        <w:rPr>
          <w:rFonts w:ascii="Arial" w:hAnsi="Arial" w:cs="Arial"/>
        </w:rPr>
        <w:t>From April 2018, the government will tighten</w:t>
      </w:r>
      <w:r w:rsidR="00E94061" w:rsidRPr="00B15FDE">
        <w:rPr>
          <w:rFonts w:ascii="Arial" w:hAnsi="Arial" w:cs="Arial"/>
        </w:rPr>
        <w:t xml:space="preserve"> </w:t>
      </w:r>
      <w:r w:rsidRPr="00B15FDE">
        <w:rPr>
          <w:rFonts w:ascii="Arial" w:hAnsi="Arial" w:cs="Arial"/>
        </w:rPr>
        <w:t>the scope of the income tax exemption for termination payments to prevent manipulation.</w:t>
      </w:r>
      <w:r w:rsidR="00E94061" w:rsidRPr="00B15FDE">
        <w:rPr>
          <w:rFonts w:ascii="Arial" w:hAnsi="Arial" w:cs="Arial"/>
        </w:rPr>
        <w:t xml:space="preserve"> </w:t>
      </w:r>
      <w:r w:rsidRPr="00B15FDE">
        <w:rPr>
          <w:rFonts w:ascii="Arial" w:hAnsi="Arial" w:cs="Arial"/>
        </w:rPr>
        <w:t xml:space="preserve">Termination payments over </w:t>
      </w:r>
      <w:r w:rsidRPr="00B15FDE">
        <w:rPr>
          <w:rFonts w:ascii="MS Gothic" w:eastAsia="MS Gothic" w:hAnsi="MS Gothic" w:cs="MS Gothic" w:hint="eastAsia"/>
        </w:rPr>
        <w:t>￡</w:t>
      </w:r>
      <w:r w:rsidRPr="00B15FDE">
        <w:rPr>
          <w:rFonts w:ascii="Arial" w:hAnsi="Arial" w:cs="Arial"/>
        </w:rPr>
        <w:t xml:space="preserve">30,000 which </w:t>
      </w:r>
      <w:r w:rsidRPr="00B15FDE">
        <w:rPr>
          <w:rFonts w:ascii="Arial" w:hAnsi="Arial" w:cs="Arial"/>
        </w:rPr>
        <w:lastRenderedPageBreak/>
        <w:t>are subject to income tax will also be subject</w:t>
      </w:r>
      <w:r w:rsidR="00E94061" w:rsidRPr="00B15FDE">
        <w:rPr>
          <w:rFonts w:ascii="Arial" w:hAnsi="Arial" w:cs="Arial"/>
        </w:rPr>
        <w:t xml:space="preserve"> </w:t>
      </w:r>
      <w:r w:rsidRPr="00B15FDE">
        <w:rPr>
          <w:rFonts w:ascii="Arial" w:hAnsi="Arial" w:cs="Arial"/>
        </w:rPr>
        <w:t>to employer National Insurance contributions. The government will undertake a technical</w:t>
      </w:r>
      <w:r w:rsidR="00E94061" w:rsidRPr="00B15FDE">
        <w:rPr>
          <w:rFonts w:ascii="Arial" w:hAnsi="Arial" w:cs="Arial"/>
        </w:rPr>
        <w:t xml:space="preserve"> </w:t>
      </w:r>
      <w:r w:rsidRPr="00B15FDE">
        <w:rPr>
          <w:rFonts w:ascii="Arial" w:hAnsi="Arial" w:cs="Arial"/>
        </w:rPr>
        <w:t xml:space="preserve">consultation on tightening the scope of the exemption. </w:t>
      </w:r>
      <w:r w:rsidR="00B81765" w:rsidRPr="00B15FDE">
        <w:rPr>
          <w:rFonts w:ascii="Arial" w:hAnsi="Arial" w:cs="Arial"/>
        </w:rPr>
        <w:t>(</w:t>
      </w:r>
      <w:r w:rsidR="00E94061" w:rsidRPr="00B15FDE">
        <w:rPr>
          <w:rFonts w:ascii="Arial" w:hAnsi="Arial" w:cs="Arial"/>
          <w:bCs/>
        </w:rPr>
        <w:t>2.26</w:t>
      </w:r>
      <w:r w:rsidR="00B81765" w:rsidRPr="00B15FDE">
        <w:rPr>
          <w:rFonts w:ascii="Arial" w:hAnsi="Arial" w:cs="Arial"/>
          <w:bCs/>
        </w:rPr>
        <w:t>)</w:t>
      </w:r>
    </w:p>
    <w:p w:rsidR="00BD3DAA" w:rsidRPr="00B15FDE" w:rsidRDefault="00BD3DAA" w:rsidP="00CD057C">
      <w:pPr>
        <w:rPr>
          <w:rFonts w:ascii="Arial" w:hAnsi="Arial" w:cs="Arial"/>
          <w:color w:val="943634" w:themeColor="accent2" w:themeShade="BF"/>
        </w:rPr>
      </w:pPr>
    </w:p>
    <w:p w:rsidR="009C64DC" w:rsidRPr="00B15FDE" w:rsidRDefault="00E94061" w:rsidP="00B15FDE">
      <w:pPr>
        <w:pStyle w:val="ListParagraph"/>
        <w:numPr>
          <w:ilvl w:val="0"/>
          <w:numId w:val="10"/>
        </w:numPr>
        <w:autoSpaceDE w:val="0"/>
        <w:autoSpaceDN w:val="0"/>
        <w:adjustRightInd w:val="0"/>
        <w:rPr>
          <w:rFonts w:ascii="Arial" w:hAnsi="Arial" w:cs="Arial"/>
        </w:rPr>
      </w:pPr>
      <w:r w:rsidRPr="00B15FDE">
        <w:rPr>
          <w:rFonts w:ascii="Arial" w:hAnsi="Arial" w:cs="Arial"/>
          <w:bCs/>
        </w:rPr>
        <w:t>T</w:t>
      </w:r>
      <w:r w:rsidR="009C64DC" w:rsidRPr="00B15FDE">
        <w:rPr>
          <w:rFonts w:ascii="Arial" w:hAnsi="Arial" w:cs="Arial"/>
        </w:rPr>
        <w:t>he government will increase the National Minimum Wage rates from October</w:t>
      </w:r>
      <w:r w:rsidR="00B15FDE" w:rsidRPr="00B15FDE">
        <w:rPr>
          <w:rFonts w:ascii="Arial" w:hAnsi="Arial" w:cs="Arial"/>
        </w:rPr>
        <w:t xml:space="preserve"> </w:t>
      </w:r>
      <w:r w:rsidR="009C64DC" w:rsidRPr="00B15FDE">
        <w:rPr>
          <w:rFonts w:ascii="Arial" w:hAnsi="Arial" w:cs="Arial"/>
        </w:rPr>
        <w:t>2016</w:t>
      </w:r>
      <w:r w:rsidRPr="00B15FDE">
        <w:rPr>
          <w:rFonts w:ascii="Arial" w:hAnsi="Arial" w:cs="Arial"/>
        </w:rPr>
        <w:t xml:space="preserve"> (</w:t>
      </w:r>
      <w:r w:rsidRPr="00B15FDE">
        <w:rPr>
          <w:rFonts w:ascii="Arial" w:hAnsi="Arial" w:cs="Arial"/>
          <w:bCs/>
        </w:rPr>
        <w:t>2.66</w:t>
      </w:r>
      <w:r w:rsidRPr="00B15FDE">
        <w:rPr>
          <w:rFonts w:ascii="Arial" w:hAnsi="Arial" w:cs="Arial"/>
          <w:bCs/>
        </w:rPr>
        <w:t>)</w:t>
      </w:r>
      <w:r w:rsidR="009C64DC" w:rsidRPr="00B15FDE">
        <w:rPr>
          <w:rFonts w:ascii="Arial" w:hAnsi="Arial" w:cs="Arial"/>
        </w:rPr>
        <w:t>. This includes:</w:t>
      </w:r>
    </w:p>
    <w:p w:rsidR="009C64DC" w:rsidRPr="00B15FDE" w:rsidRDefault="009C64DC" w:rsidP="00B15FDE">
      <w:pPr>
        <w:pStyle w:val="ListParagraph"/>
        <w:numPr>
          <w:ilvl w:val="1"/>
          <w:numId w:val="10"/>
        </w:numPr>
        <w:autoSpaceDE w:val="0"/>
        <w:autoSpaceDN w:val="0"/>
        <w:adjustRightInd w:val="0"/>
        <w:rPr>
          <w:rFonts w:ascii="Arial" w:hAnsi="Arial" w:cs="Arial"/>
        </w:rPr>
      </w:pPr>
      <w:r w:rsidRPr="00B15FDE">
        <w:rPr>
          <w:rFonts w:ascii="Arial" w:hAnsi="Arial" w:cs="Arial"/>
        </w:rPr>
        <w:t xml:space="preserve">a 3.7% increase in the rate for 21 to 24 year olds (from </w:t>
      </w:r>
      <w:r w:rsidRPr="00B15FDE">
        <w:rPr>
          <w:rFonts w:ascii="MS Gothic" w:eastAsia="MS Gothic" w:hAnsi="MS Gothic" w:cs="MS Gothic" w:hint="eastAsia"/>
        </w:rPr>
        <w:t>￡</w:t>
      </w:r>
      <w:r w:rsidRPr="00B15FDE">
        <w:rPr>
          <w:rFonts w:ascii="Arial" w:hAnsi="Arial" w:cs="Arial"/>
        </w:rPr>
        <w:t xml:space="preserve">6.70 to </w:t>
      </w:r>
      <w:r w:rsidRPr="00B15FDE">
        <w:rPr>
          <w:rFonts w:ascii="MS Gothic" w:eastAsia="MS Gothic" w:hAnsi="MS Gothic" w:cs="MS Gothic" w:hint="eastAsia"/>
        </w:rPr>
        <w:t>￡</w:t>
      </w:r>
      <w:r w:rsidRPr="00B15FDE">
        <w:rPr>
          <w:rFonts w:ascii="Arial" w:hAnsi="Arial" w:cs="Arial"/>
        </w:rPr>
        <w:t>6.95 per hour)</w:t>
      </w:r>
    </w:p>
    <w:p w:rsidR="009C64DC" w:rsidRPr="00B15FDE" w:rsidRDefault="009C64DC" w:rsidP="00B15FDE">
      <w:pPr>
        <w:pStyle w:val="ListParagraph"/>
        <w:numPr>
          <w:ilvl w:val="1"/>
          <w:numId w:val="10"/>
        </w:numPr>
        <w:autoSpaceDE w:val="0"/>
        <w:autoSpaceDN w:val="0"/>
        <w:adjustRightInd w:val="0"/>
        <w:rPr>
          <w:rFonts w:ascii="Arial" w:hAnsi="Arial" w:cs="Arial"/>
        </w:rPr>
      </w:pPr>
      <w:r w:rsidRPr="00B15FDE">
        <w:rPr>
          <w:rFonts w:ascii="Arial" w:hAnsi="Arial" w:cs="Arial"/>
        </w:rPr>
        <w:t xml:space="preserve">a 4.7% increase in the rate for 18 to 20 year olds (from </w:t>
      </w:r>
      <w:r w:rsidRPr="00B15FDE">
        <w:rPr>
          <w:rFonts w:ascii="MS Gothic" w:eastAsia="MS Gothic" w:hAnsi="MS Gothic" w:cs="MS Gothic" w:hint="eastAsia"/>
        </w:rPr>
        <w:t>￡</w:t>
      </w:r>
      <w:r w:rsidRPr="00B15FDE">
        <w:rPr>
          <w:rFonts w:ascii="Arial" w:hAnsi="Arial" w:cs="Arial"/>
        </w:rPr>
        <w:t xml:space="preserve">5.30 to </w:t>
      </w:r>
      <w:r w:rsidRPr="00B15FDE">
        <w:rPr>
          <w:rFonts w:ascii="MS Gothic" w:eastAsia="MS Gothic" w:hAnsi="MS Gothic" w:cs="MS Gothic" w:hint="eastAsia"/>
        </w:rPr>
        <w:t>￡</w:t>
      </w:r>
      <w:r w:rsidRPr="00B15FDE">
        <w:rPr>
          <w:rFonts w:ascii="Arial" w:hAnsi="Arial" w:cs="Arial"/>
        </w:rPr>
        <w:t>5.55 per hour)</w:t>
      </w:r>
    </w:p>
    <w:p w:rsidR="009C64DC" w:rsidRPr="00B15FDE" w:rsidRDefault="009C64DC" w:rsidP="00B15FDE">
      <w:pPr>
        <w:pStyle w:val="ListParagraph"/>
        <w:numPr>
          <w:ilvl w:val="1"/>
          <w:numId w:val="10"/>
        </w:numPr>
        <w:autoSpaceDE w:val="0"/>
        <w:autoSpaceDN w:val="0"/>
        <w:adjustRightInd w:val="0"/>
        <w:rPr>
          <w:rFonts w:ascii="Arial" w:hAnsi="Arial" w:cs="Arial"/>
        </w:rPr>
      </w:pPr>
      <w:r w:rsidRPr="00B15FDE">
        <w:rPr>
          <w:rFonts w:ascii="Arial" w:hAnsi="Arial" w:cs="Arial"/>
        </w:rPr>
        <w:t xml:space="preserve">a 3.4% increase in the rate for 16 to 17 year olds (from </w:t>
      </w:r>
      <w:r w:rsidRPr="00B15FDE">
        <w:rPr>
          <w:rFonts w:ascii="MS Gothic" w:eastAsia="MS Gothic" w:hAnsi="MS Gothic" w:cs="MS Gothic" w:hint="eastAsia"/>
        </w:rPr>
        <w:t>￡</w:t>
      </w:r>
      <w:r w:rsidRPr="00B15FDE">
        <w:rPr>
          <w:rFonts w:ascii="Arial" w:hAnsi="Arial" w:cs="Arial"/>
        </w:rPr>
        <w:t xml:space="preserve">3.87 to </w:t>
      </w:r>
      <w:r w:rsidRPr="00B15FDE">
        <w:rPr>
          <w:rFonts w:ascii="MS Gothic" w:eastAsia="MS Gothic" w:hAnsi="MS Gothic" w:cs="MS Gothic" w:hint="eastAsia"/>
        </w:rPr>
        <w:t>￡</w:t>
      </w:r>
      <w:r w:rsidRPr="00B15FDE">
        <w:rPr>
          <w:rFonts w:ascii="Arial" w:hAnsi="Arial" w:cs="Arial"/>
        </w:rPr>
        <w:t>4.00 per hour)</w:t>
      </w:r>
    </w:p>
    <w:p w:rsidR="009C64DC" w:rsidRPr="00B15FDE" w:rsidRDefault="009C64DC" w:rsidP="00B15FDE">
      <w:pPr>
        <w:pStyle w:val="ListParagraph"/>
        <w:numPr>
          <w:ilvl w:val="1"/>
          <w:numId w:val="10"/>
        </w:numPr>
        <w:autoSpaceDE w:val="0"/>
        <w:autoSpaceDN w:val="0"/>
        <w:adjustRightInd w:val="0"/>
        <w:rPr>
          <w:rFonts w:ascii="Arial" w:hAnsi="Arial" w:cs="Arial"/>
        </w:rPr>
      </w:pPr>
      <w:r w:rsidRPr="00B15FDE">
        <w:rPr>
          <w:rFonts w:ascii="Arial" w:hAnsi="Arial" w:cs="Arial"/>
        </w:rPr>
        <w:t xml:space="preserve">a 3.0% increase in the rate for apprentices (from </w:t>
      </w:r>
      <w:r w:rsidRPr="00B15FDE">
        <w:rPr>
          <w:rFonts w:ascii="MS Gothic" w:eastAsia="MS Gothic" w:hAnsi="MS Gothic" w:cs="MS Gothic" w:hint="eastAsia"/>
        </w:rPr>
        <w:t>￡</w:t>
      </w:r>
      <w:r w:rsidRPr="00B15FDE">
        <w:rPr>
          <w:rFonts w:ascii="Arial" w:hAnsi="Arial" w:cs="Arial"/>
        </w:rPr>
        <w:t xml:space="preserve">3.30 to </w:t>
      </w:r>
      <w:r w:rsidRPr="00B15FDE">
        <w:rPr>
          <w:rFonts w:ascii="MS Gothic" w:eastAsia="MS Gothic" w:hAnsi="MS Gothic" w:cs="MS Gothic" w:hint="eastAsia"/>
        </w:rPr>
        <w:t>￡</w:t>
      </w:r>
      <w:r w:rsidRPr="00B15FDE">
        <w:rPr>
          <w:rFonts w:ascii="Arial" w:hAnsi="Arial" w:cs="Arial"/>
        </w:rPr>
        <w:t>3.40 per hour)</w:t>
      </w:r>
    </w:p>
    <w:p w:rsidR="009C64DC" w:rsidRPr="00B15FDE" w:rsidRDefault="009C64DC" w:rsidP="00B15FDE">
      <w:pPr>
        <w:pStyle w:val="ListParagraph"/>
        <w:numPr>
          <w:ilvl w:val="1"/>
          <w:numId w:val="10"/>
        </w:numPr>
        <w:autoSpaceDE w:val="0"/>
        <w:autoSpaceDN w:val="0"/>
        <w:adjustRightInd w:val="0"/>
        <w:rPr>
          <w:rFonts w:ascii="Arial" w:hAnsi="Arial" w:cs="Arial"/>
        </w:rPr>
      </w:pPr>
      <w:r w:rsidRPr="00B15FDE">
        <w:rPr>
          <w:rFonts w:ascii="Arial" w:hAnsi="Arial" w:cs="Arial"/>
        </w:rPr>
        <w:t xml:space="preserve">a 12.1% increase in the accommodation offset (from </w:t>
      </w:r>
      <w:r w:rsidRPr="00B15FDE">
        <w:rPr>
          <w:rFonts w:ascii="MS Gothic" w:eastAsia="MS Gothic" w:hAnsi="MS Gothic" w:cs="MS Gothic" w:hint="eastAsia"/>
        </w:rPr>
        <w:t>￡</w:t>
      </w:r>
      <w:r w:rsidRPr="00B15FDE">
        <w:rPr>
          <w:rFonts w:ascii="Arial" w:hAnsi="Arial" w:cs="Arial"/>
        </w:rPr>
        <w:t xml:space="preserve">5.35 to </w:t>
      </w:r>
      <w:r w:rsidRPr="00B15FDE">
        <w:rPr>
          <w:rFonts w:ascii="MS Gothic" w:eastAsia="MS Gothic" w:hAnsi="MS Gothic" w:cs="MS Gothic" w:hint="eastAsia"/>
        </w:rPr>
        <w:t>￡</w:t>
      </w:r>
      <w:r w:rsidRPr="00B15FDE">
        <w:rPr>
          <w:rFonts w:ascii="Arial" w:hAnsi="Arial" w:cs="Arial"/>
        </w:rPr>
        <w:t>6.00 a day)</w:t>
      </w:r>
    </w:p>
    <w:p w:rsidR="00E94061" w:rsidRPr="00B81765" w:rsidRDefault="00E94061" w:rsidP="00E94061">
      <w:pPr>
        <w:autoSpaceDE w:val="0"/>
        <w:autoSpaceDN w:val="0"/>
        <w:adjustRightInd w:val="0"/>
        <w:ind w:left="720"/>
        <w:rPr>
          <w:rFonts w:ascii="Arial" w:hAnsi="Arial" w:cs="Arial"/>
        </w:rPr>
      </w:pPr>
    </w:p>
    <w:p w:rsidR="009C64DC" w:rsidRPr="00B15FDE" w:rsidRDefault="009C64DC" w:rsidP="00B15FDE">
      <w:pPr>
        <w:pStyle w:val="ListParagraph"/>
        <w:numPr>
          <w:ilvl w:val="0"/>
          <w:numId w:val="10"/>
        </w:numPr>
        <w:autoSpaceDE w:val="0"/>
        <w:autoSpaceDN w:val="0"/>
        <w:adjustRightInd w:val="0"/>
        <w:rPr>
          <w:rFonts w:ascii="Arial" w:hAnsi="Arial" w:cs="Arial"/>
        </w:rPr>
      </w:pPr>
      <w:r w:rsidRPr="00B15FDE">
        <w:rPr>
          <w:rFonts w:ascii="Arial" w:hAnsi="Arial" w:cs="Arial"/>
        </w:rPr>
        <w:t>The government will align the National Minimum Wage and National Living Wage cycles so that</w:t>
      </w:r>
      <w:r w:rsidR="00B15FDE">
        <w:rPr>
          <w:rFonts w:ascii="Arial" w:hAnsi="Arial" w:cs="Arial"/>
        </w:rPr>
        <w:t xml:space="preserve"> </w:t>
      </w:r>
      <w:r w:rsidRPr="00B15FDE">
        <w:rPr>
          <w:rFonts w:ascii="Arial" w:hAnsi="Arial" w:cs="Arial"/>
        </w:rPr>
        <w:t>both rates are amended in April each year. This will take effect from April 2017.</w:t>
      </w:r>
      <w:r w:rsidR="00561F89">
        <w:rPr>
          <w:rFonts w:ascii="Arial" w:hAnsi="Arial" w:cs="Arial"/>
        </w:rPr>
        <w:t>(</w:t>
      </w:r>
      <w:r w:rsidR="00E94061" w:rsidRPr="00B15FDE">
        <w:rPr>
          <w:rFonts w:ascii="Arial" w:hAnsi="Arial" w:cs="Arial"/>
        </w:rPr>
        <w:t>2.67</w:t>
      </w:r>
      <w:r w:rsidR="00561F89">
        <w:rPr>
          <w:rFonts w:ascii="Arial" w:hAnsi="Arial" w:cs="Arial"/>
        </w:rPr>
        <w:t>)</w:t>
      </w:r>
    </w:p>
    <w:p w:rsidR="009C64DC" w:rsidRPr="00B15FDE" w:rsidRDefault="009C64DC" w:rsidP="009C64DC">
      <w:pPr>
        <w:rPr>
          <w:rFonts w:ascii="Arial" w:hAnsi="Arial" w:cs="Arial"/>
        </w:rPr>
      </w:pPr>
    </w:p>
    <w:p w:rsidR="009C64DC" w:rsidRPr="00B15FDE" w:rsidRDefault="009C64DC" w:rsidP="00B15FDE">
      <w:pPr>
        <w:pStyle w:val="ListParagraph"/>
        <w:numPr>
          <w:ilvl w:val="0"/>
          <w:numId w:val="10"/>
        </w:numPr>
        <w:autoSpaceDE w:val="0"/>
        <w:autoSpaceDN w:val="0"/>
        <w:adjustRightInd w:val="0"/>
        <w:rPr>
          <w:rFonts w:ascii="Arial" w:hAnsi="Arial" w:cs="Arial"/>
        </w:rPr>
      </w:pPr>
      <w:r w:rsidRPr="00B15FDE">
        <w:rPr>
          <w:rFonts w:ascii="Arial" w:hAnsi="Arial" w:cs="Arial"/>
        </w:rPr>
        <w:t>The date from which new</w:t>
      </w:r>
      <w:r w:rsidR="00E94061" w:rsidRPr="00B15FDE">
        <w:rPr>
          <w:rFonts w:ascii="Arial" w:hAnsi="Arial" w:cs="Arial"/>
        </w:rPr>
        <w:t xml:space="preserve"> </w:t>
      </w:r>
      <w:r w:rsidRPr="00B15FDE">
        <w:rPr>
          <w:rFonts w:ascii="Arial" w:hAnsi="Arial" w:cs="Arial"/>
        </w:rPr>
        <w:t>or renewed tenancies in the social sector will be subject to the cap on Housing Benefit at the</w:t>
      </w:r>
      <w:r w:rsidR="00E94061" w:rsidRPr="00B15FDE">
        <w:rPr>
          <w:rFonts w:ascii="Arial" w:hAnsi="Arial" w:cs="Arial"/>
        </w:rPr>
        <w:t xml:space="preserve"> </w:t>
      </w:r>
      <w:r w:rsidRPr="00B15FDE">
        <w:rPr>
          <w:rFonts w:ascii="Arial" w:hAnsi="Arial" w:cs="Arial"/>
        </w:rPr>
        <w:t>relevant Local Housing Allowance rate will be deferred for supported accommodation – from</w:t>
      </w:r>
      <w:r w:rsidR="00E94061" w:rsidRPr="00B15FDE">
        <w:rPr>
          <w:rFonts w:ascii="Arial" w:hAnsi="Arial" w:cs="Arial"/>
        </w:rPr>
        <w:t xml:space="preserve"> </w:t>
      </w:r>
      <w:r w:rsidRPr="00B15FDE">
        <w:rPr>
          <w:rFonts w:ascii="Arial" w:hAnsi="Arial" w:cs="Arial"/>
        </w:rPr>
        <w:t>April 2016 to April 2017 – to enable the government to complete a review of supported</w:t>
      </w:r>
      <w:r w:rsidR="00E94061" w:rsidRPr="00B15FDE">
        <w:rPr>
          <w:rFonts w:ascii="Arial" w:hAnsi="Arial" w:cs="Arial"/>
        </w:rPr>
        <w:t xml:space="preserve"> accommodation.</w:t>
      </w:r>
      <w:r w:rsidR="00B15FDE" w:rsidRPr="00B15FDE">
        <w:rPr>
          <w:rFonts w:ascii="Arial" w:hAnsi="Arial" w:cs="Arial"/>
        </w:rPr>
        <w:t>(</w:t>
      </w:r>
      <w:r w:rsidR="00E94061" w:rsidRPr="00B15FDE">
        <w:rPr>
          <w:rFonts w:ascii="Arial" w:hAnsi="Arial" w:cs="Arial"/>
          <w:b/>
          <w:bCs/>
        </w:rPr>
        <w:t xml:space="preserve"> </w:t>
      </w:r>
      <w:r w:rsidR="00E94061" w:rsidRPr="00B15FDE">
        <w:rPr>
          <w:rFonts w:ascii="Arial" w:hAnsi="Arial" w:cs="Arial"/>
          <w:bCs/>
        </w:rPr>
        <w:t>2.74</w:t>
      </w:r>
      <w:r w:rsidR="00B15FDE" w:rsidRPr="00B15FDE">
        <w:rPr>
          <w:rFonts w:ascii="Arial" w:hAnsi="Arial" w:cs="Arial"/>
          <w:bCs/>
        </w:rPr>
        <w:t>)</w:t>
      </w:r>
    </w:p>
    <w:p w:rsidR="009C64DC" w:rsidRPr="00B15FDE" w:rsidRDefault="009C64DC" w:rsidP="009C64DC">
      <w:pPr>
        <w:rPr>
          <w:rFonts w:ascii="Arial" w:hAnsi="Arial" w:cs="Arial"/>
        </w:rPr>
      </w:pPr>
    </w:p>
    <w:p w:rsidR="004D1BE8" w:rsidRDefault="004D1BE8"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B81765" w:rsidRDefault="00B81765" w:rsidP="002B3064">
      <w:pPr>
        <w:rPr>
          <w:rFonts w:ascii="Arial" w:hAnsi="Arial" w:cs="Arial"/>
          <w:color w:val="000000"/>
        </w:rPr>
      </w:pPr>
    </w:p>
    <w:p w:rsidR="004D1BE8" w:rsidRDefault="004D1BE8" w:rsidP="002B3064">
      <w:pPr>
        <w:rPr>
          <w:rFonts w:ascii="Arial" w:hAnsi="Arial" w:cs="Arial"/>
          <w:color w:val="000000"/>
        </w:rPr>
      </w:pPr>
    </w:p>
    <w:p w:rsidR="004D1BE8" w:rsidRDefault="004D1BE8" w:rsidP="002B3064">
      <w:pPr>
        <w:rPr>
          <w:rFonts w:ascii="Arial" w:hAnsi="Arial" w:cs="Arial"/>
          <w:color w:val="000000"/>
        </w:rPr>
      </w:pPr>
    </w:p>
    <w:p w:rsidR="00B15FDE" w:rsidRDefault="00B15FDE" w:rsidP="002B3064">
      <w:pPr>
        <w:rPr>
          <w:rFonts w:ascii="Arial" w:hAnsi="Arial" w:cs="Arial"/>
          <w:color w:val="000000"/>
        </w:rPr>
      </w:pPr>
    </w:p>
    <w:p w:rsidR="00B15FDE" w:rsidRDefault="00B15FDE" w:rsidP="002B3064">
      <w:pPr>
        <w:rPr>
          <w:rFonts w:ascii="Arial" w:hAnsi="Arial" w:cs="Arial"/>
          <w:color w:val="000000"/>
        </w:rPr>
      </w:pPr>
    </w:p>
    <w:p w:rsidR="00B15FDE" w:rsidRDefault="00B15FDE" w:rsidP="002B3064">
      <w:pPr>
        <w:rPr>
          <w:rFonts w:ascii="Arial" w:hAnsi="Arial" w:cs="Arial"/>
          <w:color w:val="000000"/>
        </w:rPr>
      </w:pPr>
    </w:p>
    <w:p w:rsidR="00B15FDE" w:rsidRDefault="00B15FDE" w:rsidP="002B3064">
      <w:pPr>
        <w:rPr>
          <w:rFonts w:ascii="Arial" w:hAnsi="Arial" w:cs="Arial"/>
          <w:color w:val="000000"/>
        </w:rPr>
      </w:pPr>
    </w:p>
    <w:p w:rsidR="00B15FDE" w:rsidRDefault="00B15FDE" w:rsidP="002B3064">
      <w:pPr>
        <w:rPr>
          <w:rFonts w:ascii="Arial" w:hAnsi="Arial" w:cs="Arial"/>
          <w:color w:val="000000"/>
        </w:rPr>
      </w:pPr>
    </w:p>
    <w:p w:rsidR="00B15FDE" w:rsidRDefault="00B15FDE" w:rsidP="002B3064">
      <w:pPr>
        <w:rPr>
          <w:rFonts w:ascii="Arial" w:hAnsi="Arial" w:cs="Arial"/>
          <w:color w:val="000000"/>
        </w:rPr>
      </w:pPr>
    </w:p>
    <w:p w:rsidR="004D1BE8" w:rsidRDefault="004D1BE8" w:rsidP="002B3064"/>
    <w:p w:rsidR="004D1BE8" w:rsidRDefault="004D1BE8" w:rsidP="002B3064"/>
    <w:p w:rsidR="004D1BE8" w:rsidRPr="00DB6F12" w:rsidRDefault="004D1BE8" w:rsidP="004D1BE8">
      <w:pPr>
        <w:jc w:val="right"/>
        <w:rPr>
          <w:rFonts w:ascii="Arial" w:hAnsi="Arial" w:cs="Arial"/>
          <w:sz w:val="28"/>
          <w:szCs w:val="28"/>
        </w:rPr>
      </w:pPr>
      <w:r w:rsidRPr="00DB6F12">
        <w:rPr>
          <w:rFonts w:ascii="Arial" w:hAnsi="Arial" w:cs="Arial"/>
          <w:sz w:val="28"/>
          <w:szCs w:val="28"/>
        </w:rPr>
        <w:t>ANNEX A</w:t>
      </w:r>
    </w:p>
    <w:p w:rsidR="004D1BE8" w:rsidRPr="00CB265D" w:rsidRDefault="00B15FDE" w:rsidP="004D1BE8">
      <w:pPr>
        <w:rPr>
          <w:rFonts w:ascii="Arial" w:hAnsi="Arial" w:cs="Arial"/>
          <w:b/>
          <w:color w:val="000000"/>
        </w:rPr>
      </w:pPr>
      <w:r w:rsidRPr="00CB265D">
        <w:rPr>
          <w:rFonts w:ascii="Arial" w:hAnsi="Arial" w:cs="Arial"/>
          <w:b/>
          <w:color w:val="000000"/>
        </w:rPr>
        <w:t>Estimating Settlement from Budget  Departmental Expenditure Limits (DEL)</w:t>
      </w:r>
    </w:p>
    <w:p w:rsidR="004D1BE8" w:rsidRPr="004D1BE8" w:rsidRDefault="004D1BE8" w:rsidP="004D1BE8">
      <w:pPr>
        <w:rPr>
          <w:rFonts w:ascii="Arial" w:hAnsi="Arial" w:cs="Arial"/>
          <w:color w:val="000000"/>
        </w:rPr>
      </w:pPr>
    </w:p>
    <w:p w:rsidR="004D1BE8" w:rsidRDefault="004D1BE8" w:rsidP="004D1BE8">
      <w:pPr>
        <w:rPr>
          <w:rFonts w:ascii="Arial" w:hAnsi="Arial" w:cs="Arial"/>
          <w:color w:val="000000"/>
        </w:rPr>
      </w:pPr>
      <w:r w:rsidRPr="004D1BE8">
        <w:rPr>
          <w:rFonts w:ascii="Arial" w:hAnsi="Arial" w:cs="Arial"/>
          <w:color w:val="000000"/>
        </w:rPr>
        <w:t>The Departmental funding allocation is the best indicator we get from the Budget of likely changes in funding to local government but is a poor indicator of any of the key funding allocations that authorities use to fix individual budgets. Data from the December Spending review and Settlement, summarised below, illustrate this problem. For example in 2016-17 local government DEL was £9.6 billion. The Revenue Support Grant that resulted was £7.2 billion and the Settlement Funding Allocation £18.1 billion. Aggregating Revenue Support Grant and Ne</w:t>
      </w:r>
      <w:r>
        <w:rPr>
          <w:rFonts w:ascii="Arial" w:hAnsi="Arial" w:cs="Arial"/>
          <w:color w:val="000000"/>
        </w:rPr>
        <w:t>w Homes Bonus gives a closer, but not close, figure of £8.7 billion, still £900 million less than DEL.</w:t>
      </w:r>
    </w:p>
    <w:p w:rsidR="004D1BE8" w:rsidRDefault="004D1BE8" w:rsidP="002B3064"/>
    <w:p w:rsidR="008B3456" w:rsidRDefault="007E3764" w:rsidP="002B3064">
      <w:pPr>
        <w:rPr>
          <w:rFonts w:ascii="Arial" w:hAnsi="Arial" w:cs="Arial"/>
          <w:color w:val="000000"/>
        </w:rPr>
      </w:pPr>
      <w:r w:rsidRPr="007E3764">
        <w:drawing>
          <wp:inline distT="0" distB="0" distL="0" distR="0">
            <wp:extent cx="4672176" cy="455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097" cy="4560669"/>
                    </a:xfrm>
                    <a:prstGeom prst="rect">
                      <a:avLst/>
                    </a:prstGeom>
                    <a:noFill/>
                    <a:ln>
                      <a:noFill/>
                    </a:ln>
                  </pic:spPr>
                </pic:pic>
              </a:graphicData>
            </a:graphic>
          </wp:inline>
        </w:drawing>
      </w:r>
    </w:p>
    <w:p w:rsidR="002163E4" w:rsidRDefault="002163E4" w:rsidP="002B3064">
      <w:pPr>
        <w:rPr>
          <w:rFonts w:ascii="Arial" w:hAnsi="Arial" w:cs="Arial"/>
          <w:color w:val="000000"/>
        </w:rPr>
      </w:pPr>
    </w:p>
    <w:p w:rsidR="00ED2169" w:rsidRDefault="00ED2169" w:rsidP="002163E4">
      <w:pPr>
        <w:rPr>
          <w:rFonts w:ascii="Arial" w:hAnsi="Arial" w:cs="Arial"/>
          <w:color w:val="000000"/>
        </w:rPr>
      </w:pPr>
    </w:p>
    <w:p w:rsidR="00BB4D0D" w:rsidRPr="00BB4D0D" w:rsidRDefault="00BB4D0D" w:rsidP="00BB4D0D">
      <w:pPr>
        <w:rPr>
          <w:rFonts w:ascii="Arial" w:hAnsi="Arial" w:cs="Arial"/>
          <w:color w:val="000000"/>
        </w:rPr>
      </w:pPr>
    </w:p>
    <w:sectPr w:rsidR="00BB4D0D" w:rsidRPr="00BB4D0D" w:rsidSect="00E0378F">
      <w:footerReference w:type="default" r:id="rId11"/>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4A5" w:rsidRDefault="007B24A5" w:rsidP="006A7D0E">
      <w:r>
        <w:separator/>
      </w:r>
    </w:p>
  </w:endnote>
  <w:endnote w:type="continuationSeparator" w:id="0">
    <w:p w:rsidR="007B24A5" w:rsidRDefault="007B24A5" w:rsidP="006A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TBKP P+ Humanist 777 BT">
    <w:altName w:val="Humanis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A5" w:rsidRPr="00763F16" w:rsidRDefault="007B24A5" w:rsidP="006A7D0E">
    <w:pPr>
      <w:pStyle w:val="Footer"/>
      <w:jc w:val="center"/>
      <w:rPr>
        <w:rFonts w:asciiTheme="minorHAnsi" w:hAnsiTheme="minorHAnsi" w:cstheme="minorHAnsi"/>
        <w:color w:val="FF0000"/>
        <w:sz w:val="20"/>
        <w:szCs w:val="20"/>
      </w:rPr>
    </w:pPr>
    <w:r w:rsidRPr="00763F16">
      <w:rPr>
        <w:rFonts w:asciiTheme="minorHAnsi" w:hAnsiTheme="minorHAnsi" w:cstheme="minorHAnsi"/>
        <w:color w:val="FF0000"/>
        <w:sz w:val="20"/>
        <w:szCs w:val="20"/>
      </w:rPr>
      <w:t>PO Box 609 Barnsley S70 9FH 01226 773101;email enquiries@SIGOMA.gov.uk;www.sigoma.gov.uk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4A5" w:rsidRDefault="007B24A5" w:rsidP="006A7D0E">
      <w:r>
        <w:separator/>
      </w:r>
    </w:p>
  </w:footnote>
  <w:footnote w:type="continuationSeparator" w:id="0">
    <w:p w:rsidR="007B24A5" w:rsidRDefault="007B24A5" w:rsidP="006A7D0E">
      <w:r>
        <w:continuationSeparator/>
      </w:r>
    </w:p>
  </w:footnote>
  <w:footnote w:id="1">
    <w:p w:rsidR="00B15FDE" w:rsidRDefault="00B15FDE">
      <w:pPr>
        <w:pStyle w:val="FootnoteText"/>
      </w:pPr>
      <w:r>
        <w:rPr>
          <w:rStyle w:val="FootnoteReference"/>
        </w:rPr>
        <w:footnoteRef/>
      </w:r>
      <w:r>
        <w:t xml:space="preserve"> Apart from 2015-16 which may be due to a revised out-turn estimate.</w:t>
      </w:r>
    </w:p>
  </w:footnote>
  <w:footnote w:id="2">
    <w:p w:rsidR="004D1BE8" w:rsidRDefault="004D1BE8">
      <w:pPr>
        <w:pStyle w:val="FootnoteText"/>
      </w:pPr>
      <w:r>
        <w:rPr>
          <w:rStyle w:val="FootnoteReference"/>
        </w:rPr>
        <w:footnoteRef/>
      </w:r>
      <w:r>
        <w:t xml:space="preserve"> See an</w:t>
      </w:r>
      <w:r w:rsidR="00B81765">
        <w:t>n</w:t>
      </w:r>
      <w:r>
        <w:t>ex</w:t>
      </w:r>
      <w:r w:rsidR="00B81765">
        <w:t xml:space="preserve">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50"/>
    <w:multiLevelType w:val="hybridMultilevel"/>
    <w:tmpl w:val="1FA2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880AA3"/>
    <w:multiLevelType w:val="hybridMultilevel"/>
    <w:tmpl w:val="9A6A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6401EF"/>
    <w:multiLevelType w:val="hybridMultilevel"/>
    <w:tmpl w:val="B330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E83DF0"/>
    <w:multiLevelType w:val="hybridMultilevel"/>
    <w:tmpl w:val="11B82460"/>
    <w:lvl w:ilvl="0" w:tplc="0809000F">
      <w:start w:val="1"/>
      <w:numFmt w:val="decimal"/>
      <w:lvlText w:val="%1."/>
      <w:lvlJc w:val="left"/>
      <w:pPr>
        <w:ind w:left="720" w:hanging="360"/>
      </w:pPr>
    </w:lvl>
    <w:lvl w:ilvl="1" w:tplc="EC66C8C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850421"/>
    <w:multiLevelType w:val="hybridMultilevel"/>
    <w:tmpl w:val="0A64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B81BF6"/>
    <w:multiLevelType w:val="hybridMultilevel"/>
    <w:tmpl w:val="56D6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5429D5"/>
    <w:multiLevelType w:val="hybridMultilevel"/>
    <w:tmpl w:val="0B82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48422E"/>
    <w:multiLevelType w:val="hybridMultilevel"/>
    <w:tmpl w:val="D77A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FE4573"/>
    <w:multiLevelType w:val="hybridMultilevel"/>
    <w:tmpl w:val="2B442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26547F"/>
    <w:multiLevelType w:val="hybridMultilevel"/>
    <w:tmpl w:val="9892B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9"/>
  </w:num>
  <w:num w:numId="7">
    <w:abstractNumId w:val="0"/>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95"/>
    <w:rsid w:val="00020AD2"/>
    <w:rsid w:val="000377D4"/>
    <w:rsid w:val="00037F62"/>
    <w:rsid w:val="0005676F"/>
    <w:rsid w:val="00060C16"/>
    <w:rsid w:val="0007222D"/>
    <w:rsid w:val="00104742"/>
    <w:rsid w:val="00105BB9"/>
    <w:rsid w:val="00132CBA"/>
    <w:rsid w:val="00156868"/>
    <w:rsid w:val="001724B2"/>
    <w:rsid w:val="00184348"/>
    <w:rsid w:val="001933B8"/>
    <w:rsid w:val="001E1A5B"/>
    <w:rsid w:val="001E5DC4"/>
    <w:rsid w:val="00202219"/>
    <w:rsid w:val="002035C0"/>
    <w:rsid w:val="0021627D"/>
    <w:rsid w:val="002163E4"/>
    <w:rsid w:val="0025416E"/>
    <w:rsid w:val="00292E15"/>
    <w:rsid w:val="002A2A56"/>
    <w:rsid w:val="002A5F4B"/>
    <w:rsid w:val="002B3064"/>
    <w:rsid w:val="002D1C0B"/>
    <w:rsid w:val="002F038A"/>
    <w:rsid w:val="00320736"/>
    <w:rsid w:val="0032223B"/>
    <w:rsid w:val="00326335"/>
    <w:rsid w:val="00327EC2"/>
    <w:rsid w:val="003425F2"/>
    <w:rsid w:val="00361E9F"/>
    <w:rsid w:val="003A5921"/>
    <w:rsid w:val="003A64DD"/>
    <w:rsid w:val="003C546C"/>
    <w:rsid w:val="003D3D91"/>
    <w:rsid w:val="003E4A41"/>
    <w:rsid w:val="003F07C0"/>
    <w:rsid w:val="003F7565"/>
    <w:rsid w:val="0040731C"/>
    <w:rsid w:val="00432571"/>
    <w:rsid w:val="00433EC7"/>
    <w:rsid w:val="00436380"/>
    <w:rsid w:val="00444397"/>
    <w:rsid w:val="004465BC"/>
    <w:rsid w:val="0045073D"/>
    <w:rsid w:val="00455D77"/>
    <w:rsid w:val="00483E97"/>
    <w:rsid w:val="00490C8C"/>
    <w:rsid w:val="004D13AB"/>
    <w:rsid w:val="004D1BE8"/>
    <w:rsid w:val="004E47BC"/>
    <w:rsid w:val="004F1025"/>
    <w:rsid w:val="0051127A"/>
    <w:rsid w:val="005172CE"/>
    <w:rsid w:val="00554621"/>
    <w:rsid w:val="00561F89"/>
    <w:rsid w:val="00562173"/>
    <w:rsid w:val="00573A89"/>
    <w:rsid w:val="005A7D5C"/>
    <w:rsid w:val="005E2FD2"/>
    <w:rsid w:val="0061183B"/>
    <w:rsid w:val="006134ED"/>
    <w:rsid w:val="00621B32"/>
    <w:rsid w:val="006243E2"/>
    <w:rsid w:val="00630083"/>
    <w:rsid w:val="00631271"/>
    <w:rsid w:val="00631F4F"/>
    <w:rsid w:val="00655C3F"/>
    <w:rsid w:val="00655DC5"/>
    <w:rsid w:val="00673B29"/>
    <w:rsid w:val="0068123E"/>
    <w:rsid w:val="00693021"/>
    <w:rsid w:val="006A7D0E"/>
    <w:rsid w:val="006B3AA3"/>
    <w:rsid w:val="00701F7C"/>
    <w:rsid w:val="007075F8"/>
    <w:rsid w:val="00722687"/>
    <w:rsid w:val="007250AA"/>
    <w:rsid w:val="007303BA"/>
    <w:rsid w:val="0074511D"/>
    <w:rsid w:val="0075783E"/>
    <w:rsid w:val="00763F16"/>
    <w:rsid w:val="007907A7"/>
    <w:rsid w:val="00790A22"/>
    <w:rsid w:val="007B24A5"/>
    <w:rsid w:val="007D1FDB"/>
    <w:rsid w:val="007D23FA"/>
    <w:rsid w:val="007E3764"/>
    <w:rsid w:val="007E56DD"/>
    <w:rsid w:val="007F492B"/>
    <w:rsid w:val="00805206"/>
    <w:rsid w:val="00833277"/>
    <w:rsid w:val="008837B8"/>
    <w:rsid w:val="008B3456"/>
    <w:rsid w:val="008F1EA3"/>
    <w:rsid w:val="00901173"/>
    <w:rsid w:val="00921282"/>
    <w:rsid w:val="009426DB"/>
    <w:rsid w:val="00942F3E"/>
    <w:rsid w:val="009445C9"/>
    <w:rsid w:val="0096087C"/>
    <w:rsid w:val="00962EDC"/>
    <w:rsid w:val="00967931"/>
    <w:rsid w:val="00967DCF"/>
    <w:rsid w:val="00981197"/>
    <w:rsid w:val="00982148"/>
    <w:rsid w:val="00982455"/>
    <w:rsid w:val="009A0159"/>
    <w:rsid w:val="009A4290"/>
    <w:rsid w:val="009C64DC"/>
    <w:rsid w:val="009D2453"/>
    <w:rsid w:val="009E63EB"/>
    <w:rsid w:val="009F154D"/>
    <w:rsid w:val="00A3053A"/>
    <w:rsid w:val="00A30F12"/>
    <w:rsid w:val="00A3143D"/>
    <w:rsid w:val="00A70D65"/>
    <w:rsid w:val="00A96B8A"/>
    <w:rsid w:val="00AA3F58"/>
    <w:rsid w:val="00B05C66"/>
    <w:rsid w:val="00B15FDE"/>
    <w:rsid w:val="00B20371"/>
    <w:rsid w:val="00B228A2"/>
    <w:rsid w:val="00B271F9"/>
    <w:rsid w:val="00B301E8"/>
    <w:rsid w:val="00B45D95"/>
    <w:rsid w:val="00B5217A"/>
    <w:rsid w:val="00B6577D"/>
    <w:rsid w:val="00B81765"/>
    <w:rsid w:val="00B83A31"/>
    <w:rsid w:val="00BA0B67"/>
    <w:rsid w:val="00BB4BB1"/>
    <w:rsid w:val="00BB4D0D"/>
    <w:rsid w:val="00BD1A76"/>
    <w:rsid w:val="00BD2B1A"/>
    <w:rsid w:val="00BD3DAA"/>
    <w:rsid w:val="00C41353"/>
    <w:rsid w:val="00C53323"/>
    <w:rsid w:val="00C74301"/>
    <w:rsid w:val="00C95765"/>
    <w:rsid w:val="00CA11FE"/>
    <w:rsid w:val="00CB1C5B"/>
    <w:rsid w:val="00CB265D"/>
    <w:rsid w:val="00CC4448"/>
    <w:rsid w:val="00CC5E74"/>
    <w:rsid w:val="00CC6E60"/>
    <w:rsid w:val="00CD057C"/>
    <w:rsid w:val="00CD0AE7"/>
    <w:rsid w:val="00CE01D4"/>
    <w:rsid w:val="00CE0260"/>
    <w:rsid w:val="00D01AB6"/>
    <w:rsid w:val="00D3457C"/>
    <w:rsid w:val="00D4232C"/>
    <w:rsid w:val="00D477CC"/>
    <w:rsid w:val="00D51161"/>
    <w:rsid w:val="00D75D8B"/>
    <w:rsid w:val="00D81979"/>
    <w:rsid w:val="00D84DA3"/>
    <w:rsid w:val="00D87665"/>
    <w:rsid w:val="00DB47C0"/>
    <w:rsid w:val="00DB6F12"/>
    <w:rsid w:val="00DD36D1"/>
    <w:rsid w:val="00DE166C"/>
    <w:rsid w:val="00DE1749"/>
    <w:rsid w:val="00DF5936"/>
    <w:rsid w:val="00E0378F"/>
    <w:rsid w:val="00E14AA3"/>
    <w:rsid w:val="00E5021C"/>
    <w:rsid w:val="00E54BD8"/>
    <w:rsid w:val="00E57DF3"/>
    <w:rsid w:val="00E807FD"/>
    <w:rsid w:val="00E94061"/>
    <w:rsid w:val="00E97512"/>
    <w:rsid w:val="00EA5809"/>
    <w:rsid w:val="00EB0324"/>
    <w:rsid w:val="00EC6DE5"/>
    <w:rsid w:val="00ED2169"/>
    <w:rsid w:val="00ED311F"/>
    <w:rsid w:val="00F1006F"/>
    <w:rsid w:val="00F25C12"/>
    <w:rsid w:val="00F37469"/>
    <w:rsid w:val="00F60307"/>
    <w:rsid w:val="00F66DFD"/>
    <w:rsid w:val="00F73D99"/>
    <w:rsid w:val="00F7647D"/>
    <w:rsid w:val="00F9766D"/>
    <w:rsid w:val="00FB34CD"/>
    <w:rsid w:val="00FD5EFE"/>
    <w:rsid w:val="00FE386C"/>
    <w:rsid w:val="00FF4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2404]"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3B8"/>
    <w:rPr>
      <w:sz w:val="24"/>
      <w:szCs w:val="24"/>
    </w:rPr>
  </w:style>
  <w:style w:type="paragraph" w:styleId="Heading1">
    <w:name w:val="heading 1"/>
    <w:basedOn w:val="Normal"/>
    <w:next w:val="Normal"/>
    <w:qFormat/>
    <w:rsid w:val="00C5332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332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53323"/>
    <w:pPr>
      <w:keepNext/>
      <w:spacing w:before="240" w:after="60"/>
      <w:outlineLvl w:val="2"/>
    </w:pPr>
    <w:rPr>
      <w:rFonts w:ascii="Arial" w:hAnsi="Arial" w:cs="Arial"/>
      <w:b/>
      <w:bCs/>
      <w:sz w:val="26"/>
      <w:szCs w:val="26"/>
    </w:rPr>
  </w:style>
  <w:style w:type="paragraph" w:styleId="Heading4">
    <w:name w:val="heading 4"/>
    <w:basedOn w:val="Normal"/>
    <w:next w:val="Normal"/>
    <w:qFormat/>
    <w:rsid w:val="00C5332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OMA">
    <w:name w:val="SIGOMA"/>
    <w:basedOn w:val="Heading2"/>
    <w:rsid w:val="00C53323"/>
  </w:style>
  <w:style w:type="paragraph" w:customStyle="1" w:styleId="SIGOMAH3">
    <w:name w:val="SIGOMAH3"/>
    <w:basedOn w:val="Heading3"/>
    <w:rsid w:val="00C53323"/>
    <w:rPr>
      <w:smallCaps/>
    </w:rPr>
  </w:style>
  <w:style w:type="paragraph" w:customStyle="1" w:styleId="SigomaText">
    <w:name w:val="SigomaText"/>
    <w:basedOn w:val="Normal"/>
    <w:rsid w:val="00C53323"/>
    <w:pPr>
      <w:jc w:val="both"/>
    </w:pPr>
    <w:rPr>
      <w:rFonts w:ascii="Arial" w:hAnsi="Arial"/>
      <w:color w:val="008000"/>
    </w:rPr>
  </w:style>
  <w:style w:type="paragraph" w:customStyle="1" w:styleId="Sigomaindented">
    <w:name w:val="Sigomaindented"/>
    <w:basedOn w:val="Normal"/>
    <w:rsid w:val="00C53323"/>
    <w:pPr>
      <w:ind w:left="720"/>
    </w:pPr>
    <w:rPr>
      <w:rFonts w:ascii="Arial" w:hAnsi="Arial"/>
      <w:color w:val="008000"/>
    </w:rPr>
  </w:style>
  <w:style w:type="paragraph" w:customStyle="1" w:styleId="SigomaH4">
    <w:name w:val="SigomaH4"/>
    <w:basedOn w:val="Heading4"/>
    <w:rsid w:val="00C53323"/>
    <w:rPr>
      <w:rFonts w:ascii="Arial" w:hAnsi="Arial"/>
      <w:smallCaps/>
      <w:sz w:val="24"/>
    </w:rPr>
  </w:style>
  <w:style w:type="paragraph" w:customStyle="1" w:styleId="SIGOMAfootnote">
    <w:name w:val="SIGOMAfootnote"/>
    <w:basedOn w:val="TOC1"/>
    <w:next w:val="TableofAuthorities"/>
    <w:rsid w:val="00C53323"/>
    <w:rPr>
      <w:rFonts w:ascii="Arial" w:hAnsi="Arial"/>
      <w:i/>
      <w:color w:val="008000"/>
      <w:sz w:val="18"/>
    </w:rPr>
  </w:style>
  <w:style w:type="paragraph" w:styleId="TOC1">
    <w:name w:val="toc 1"/>
    <w:basedOn w:val="Normal"/>
    <w:next w:val="Normal"/>
    <w:autoRedefine/>
    <w:semiHidden/>
    <w:rsid w:val="00C53323"/>
  </w:style>
  <w:style w:type="paragraph" w:styleId="TableofAuthorities">
    <w:name w:val="table of authorities"/>
    <w:basedOn w:val="Normal"/>
    <w:next w:val="Normal"/>
    <w:semiHidden/>
    <w:rsid w:val="00C53323"/>
    <w:pPr>
      <w:ind w:left="240" w:hanging="240"/>
    </w:pPr>
  </w:style>
  <w:style w:type="paragraph" w:customStyle="1" w:styleId="SIGOMATa1">
    <w:name w:val="SIGOMA_Ta1"/>
    <w:basedOn w:val="Normal"/>
    <w:qFormat/>
    <w:rsid w:val="00F66DFD"/>
    <w:rPr>
      <w:rFonts w:ascii="Calibri" w:hAnsi="Calibri"/>
    </w:rPr>
  </w:style>
  <w:style w:type="table" w:styleId="TableGrid">
    <w:name w:val="Table Grid"/>
    <w:basedOn w:val="TableNormal"/>
    <w:rsid w:val="00B45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A7D0E"/>
    <w:pPr>
      <w:tabs>
        <w:tab w:val="center" w:pos="4513"/>
        <w:tab w:val="right" w:pos="9026"/>
      </w:tabs>
    </w:pPr>
  </w:style>
  <w:style w:type="character" w:customStyle="1" w:styleId="HeaderChar">
    <w:name w:val="Header Char"/>
    <w:basedOn w:val="DefaultParagraphFont"/>
    <w:link w:val="Header"/>
    <w:uiPriority w:val="99"/>
    <w:rsid w:val="006A7D0E"/>
    <w:rPr>
      <w:sz w:val="24"/>
      <w:szCs w:val="24"/>
    </w:rPr>
  </w:style>
  <w:style w:type="paragraph" w:styleId="Footer">
    <w:name w:val="footer"/>
    <w:basedOn w:val="Normal"/>
    <w:link w:val="FooterChar"/>
    <w:uiPriority w:val="99"/>
    <w:rsid w:val="006A7D0E"/>
    <w:pPr>
      <w:tabs>
        <w:tab w:val="center" w:pos="4513"/>
        <w:tab w:val="right" w:pos="9026"/>
      </w:tabs>
    </w:pPr>
  </w:style>
  <w:style w:type="character" w:customStyle="1" w:styleId="FooterChar">
    <w:name w:val="Footer Char"/>
    <w:basedOn w:val="DefaultParagraphFont"/>
    <w:link w:val="Footer"/>
    <w:uiPriority w:val="99"/>
    <w:rsid w:val="006A7D0E"/>
    <w:rPr>
      <w:sz w:val="24"/>
      <w:szCs w:val="24"/>
    </w:rPr>
  </w:style>
  <w:style w:type="paragraph" w:styleId="BalloonText">
    <w:name w:val="Balloon Text"/>
    <w:basedOn w:val="Normal"/>
    <w:link w:val="BalloonTextChar"/>
    <w:rsid w:val="006A7D0E"/>
    <w:rPr>
      <w:rFonts w:ascii="Tahoma" w:hAnsi="Tahoma" w:cs="Tahoma"/>
      <w:sz w:val="16"/>
      <w:szCs w:val="16"/>
    </w:rPr>
  </w:style>
  <w:style w:type="character" w:customStyle="1" w:styleId="BalloonTextChar">
    <w:name w:val="Balloon Text Char"/>
    <w:basedOn w:val="DefaultParagraphFont"/>
    <w:link w:val="BalloonText"/>
    <w:rsid w:val="006A7D0E"/>
    <w:rPr>
      <w:rFonts w:ascii="Tahoma" w:hAnsi="Tahoma" w:cs="Tahoma"/>
      <w:sz w:val="16"/>
      <w:szCs w:val="16"/>
    </w:rPr>
  </w:style>
  <w:style w:type="paragraph" w:styleId="ListParagraph">
    <w:name w:val="List Paragraph"/>
    <w:basedOn w:val="Normal"/>
    <w:uiPriority w:val="34"/>
    <w:qFormat/>
    <w:rsid w:val="0025416E"/>
    <w:pPr>
      <w:ind w:left="720"/>
      <w:contextualSpacing/>
    </w:pPr>
  </w:style>
  <w:style w:type="character" w:styleId="Hyperlink">
    <w:name w:val="Hyperlink"/>
    <w:basedOn w:val="DefaultParagraphFont"/>
    <w:rsid w:val="00E97512"/>
    <w:rPr>
      <w:color w:val="0000FF" w:themeColor="hyperlink"/>
      <w:u w:val="single"/>
    </w:rPr>
  </w:style>
  <w:style w:type="table" w:styleId="Table3Deffects1">
    <w:name w:val="Table 3D effects 1"/>
    <w:basedOn w:val="TableNormal"/>
    <w:rsid w:val="00FB34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B34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9E63EB"/>
    <w:rPr>
      <w:sz w:val="20"/>
      <w:szCs w:val="20"/>
    </w:rPr>
  </w:style>
  <w:style w:type="character" w:customStyle="1" w:styleId="FootnoteTextChar">
    <w:name w:val="Footnote Text Char"/>
    <w:basedOn w:val="DefaultParagraphFont"/>
    <w:link w:val="FootnoteText"/>
    <w:rsid w:val="009E63EB"/>
  </w:style>
  <w:style w:type="character" w:styleId="FootnoteReference">
    <w:name w:val="footnote reference"/>
    <w:basedOn w:val="DefaultParagraphFont"/>
    <w:rsid w:val="009E63EB"/>
    <w:rPr>
      <w:vertAlign w:val="superscript"/>
    </w:rPr>
  </w:style>
  <w:style w:type="paragraph" w:customStyle="1" w:styleId="Default">
    <w:name w:val="Default"/>
    <w:rsid w:val="00FD5EFE"/>
    <w:pPr>
      <w:autoSpaceDE w:val="0"/>
      <w:autoSpaceDN w:val="0"/>
      <w:adjustRightInd w:val="0"/>
    </w:pPr>
    <w:rPr>
      <w:rFonts w:ascii="DTBKP P+ Humanist 777 BT" w:hAnsi="DTBKP P+ Humanist 777 BT" w:cs="DTBKP P+ Humanist 777 BT"/>
      <w:color w:val="000000"/>
      <w:sz w:val="24"/>
      <w:szCs w:val="24"/>
    </w:rPr>
  </w:style>
  <w:style w:type="character" w:customStyle="1" w:styleId="A4">
    <w:name w:val="A4"/>
    <w:uiPriority w:val="99"/>
    <w:rsid w:val="00FD5EFE"/>
    <w:rPr>
      <w:rFonts w:cs="DTBKP P+ Humanist 777 B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3B8"/>
    <w:rPr>
      <w:sz w:val="24"/>
      <w:szCs w:val="24"/>
    </w:rPr>
  </w:style>
  <w:style w:type="paragraph" w:styleId="Heading1">
    <w:name w:val="heading 1"/>
    <w:basedOn w:val="Normal"/>
    <w:next w:val="Normal"/>
    <w:qFormat/>
    <w:rsid w:val="00C5332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332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53323"/>
    <w:pPr>
      <w:keepNext/>
      <w:spacing w:before="240" w:after="60"/>
      <w:outlineLvl w:val="2"/>
    </w:pPr>
    <w:rPr>
      <w:rFonts w:ascii="Arial" w:hAnsi="Arial" w:cs="Arial"/>
      <w:b/>
      <w:bCs/>
      <w:sz w:val="26"/>
      <w:szCs w:val="26"/>
    </w:rPr>
  </w:style>
  <w:style w:type="paragraph" w:styleId="Heading4">
    <w:name w:val="heading 4"/>
    <w:basedOn w:val="Normal"/>
    <w:next w:val="Normal"/>
    <w:qFormat/>
    <w:rsid w:val="00C5332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OMA">
    <w:name w:val="SIGOMA"/>
    <w:basedOn w:val="Heading2"/>
    <w:rsid w:val="00C53323"/>
  </w:style>
  <w:style w:type="paragraph" w:customStyle="1" w:styleId="SIGOMAH3">
    <w:name w:val="SIGOMAH3"/>
    <w:basedOn w:val="Heading3"/>
    <w:rsid w:val="00C53323"/>
    <w:rPr>
      <w:smallCaps/>
    </w:rPr>
  </w:style>
  <w:style w:type="paragraph" w:customStyle="1" w:styleId="SigomaText">
    <w:name w:val="SigomaText"/>
    <w:basedOn w:val="Normal"/>
    <w:rsid w:val="00C53323"/>
    <w:pPr>
      <w:jc w:val="both"/>
    </w:pPr>
    <w:rPr>
      <w:rFonts w:ascii="Arial" w:hAnsi="Arial"/>
      <w:color w:val="008000"/>
    </w:rPr>
  </w:style>
  <w:style w:type="paragraph" w:customStyle="1" w:styleId="Sigomaindented">
    <w:name w:val="Sigomaindented"/>
    <w:basedOn w:val="Normal"/>
    <w:rsid w:val="00C53323"/>
    <w:pPr>
      <w:ind w:left="720"/>
    </w:pPr>
    <w:rPr>
      <w:rFonts w:ascii="Arial" w:hAnsi="Arial"/>
      <w:color w:val="008000"/>
    </w:rPr>
  </w:style>
  <w:style w:type="paragraph" w:customStyle="1" w:styleId="SigomaH4">
    <w:name w:val="SigomaH4"/>
    <w:basedOn w:val="Heading4"/>
    <w:rsid w:val="00C53323"/>
    <w:rPr>
      <w:rFonts w:ascii="Arial" w:hAnsi="Arial"/>
      <w:smallCaps/>
      <w:sz w:val="24"/>
    </w:rPr>
  </w:style>
  <w:style w:type="paragraph" w:customStyle="1" w:styleId="SIGOMAfootnote">
    <w:name w:val="SIGOMAfootnote"/>
    <w:basedOn w:val="TOC1"/>
    <w:next w:val="TableofAuthorities"/>
    <w:rsid w:val="00C53323"/>
    <w:rPr>
      <w:rFonts w:ascii="Arial" w:hAnsi="Arial"/>
      <w:i/>
      <w:color w:val="008000"/>
      <w:sz w:val="18"/>
    </w:rPr>
  </w:style>
  <w:style w:type="paragraph" w:styleId="TOC1">
    <w:name w:val="toc 1"/>
    <w:basedOn w:val="Normal"/>
    <w:next w:val="Normal"/>
    <w:autoRedefine/>
    <w:semiHidden/>
    <w:rsid w:val="00C53323"/>
  </w:style>
  <w:style w:type="paragraph" w:styleId="TableofAuthorities">
    <w:name w:val="table of authorities"/>
    <w:basedOn w:val="Normal"/>
    <w:next w:val="Normal"/>
    <w:semiHidden/>
    <w:rsid w:val="00C53323"/>
    <w:pPr>
      <w:ind w:left="240" w:hanging="240"/>
    </w:pPr>
  </w:style>
  <w:style w:type="paragraph" w:customStyle="1" w:styleId="SIGOMATa1">
    <w:name w:val="SIGOMA_Ta1"/>
    <w:basedOn w:val="Normal"/>
    <w:qFormat/>
    <w:rsid w:val="00F66DFD"/>
    <w:rPr>
      <w:rFonts w:ascii="Calibri" w:hAnsi="Calibri"/>
    </w:rPr>
  </w:style>
  <w:style w:type="table" w:styleId="TableGrid">
    <w:name w:val="Table Grid"/>
    <w:basedOn w:val="TableNormal"/>
    <w:rsid w:val="00B45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A7D0E"/>
    <w:pPr>
      <w:tabs>
        <w:tab w:val="center" w:pos="4513"/>
        <w:tab w:val="right" w:pos="9026"/>
      </w:tabs>
    </w:pPr>
  </w:style>
  <w:style w:type="character" w:customStyle="1" w:styleId="HeaderChar">
    <w:name w:val="Header Char"/>
    <w:basedOn w:val="DefaultParagraphFont"/>
    <w:link w:val="Header"/>
    <w:uiPriority w:val="99"/>
    <w:rsid w:val="006A7D0E"/>
    <w:rPr>
      <w:sz w:val="24"/>
      <w:szCs w:val="24"/>
    </w:rPr>
  </w:style>
  <w:style w:type="paragraph" w:styleId="Footer">
    <w:name w:val="footer"/>
    <w:basedOn w:val="Normal"/>
    <w:link w:val="FooterChar"/>
    <w:uiPriority w:val="99"/>
    <w:rsid w:val="006A7D0E"/>
    <w:pPr>
      <w:tabs>
        <w:tab w:val="center" w:pos="4513"/>
        <w:tab w:val="right" w:pos="9026"/>
      </w:tabs>
    </w:pPr>
  </w:style>
  <w:style w:type="character" w:customStyle="1" w:styleId="FooterChar">
    <w:name w:val="Footer Char"/>
    <w:basedOn w:val="DefaultParagraphFont"/>
    <w:link w:val="Footer"/>
    <w:uiPriority w:val="99"/>
    <w:rsid w:val="006A7D0E"/>
    <w:rPr>
      <w:sz w:val="24"/>
      <w:szCs w:val="24"/>
    </w:rPr>
  </w:style>
  <w:style w:type="paragraph" w:styleId="BalloonText">
    <w:name w:val="Balloon Text"/>
    <w:basedOn w:val="Normal"/>
    <w:link w:val="BalloonTextChar"/>
    <w:rsid w:val="006A7D0E"/>
    <w:rPr>
      <w:rFonts w:ascii="Tahoma" w:hAnsi="Tahoma" w:cs="Tahoma"/>
      <w:sz w:val="16"/>
      <w:szCs w:val="16"/>
    </w:rPr>
  </w:style>
  <w:style w:type="character" w:customStyle="1" w:styleId="BalloonTextChar">
    <w:name w:val="Balloon Text Char"/>
    <w:basedOn w:val="DefaultParagraphFont"/>
    <w:link w:val="BalloonText"/>
    <w:rsid w:val="006A7D0E"/>
    <w:rPr>
      <w:rFonts w:ascii="Tahoma" w:hAnsi="Tahoma" w:cs="Tahoma"/>
      <w:sz w:val="16"/>
      <w:szCs w:val="16"/>
    </w:rPr>
  </w:style>
  <w:style w:type="paragraph" w:styleId="ListParagraph">
    <w:name w:val="List Paragraph"/>
    <w:basedOn w:val="Normal"/>
    <w:uiPriority w:val="34"/>
    <w:qFormat/>
    <w:rsid w:val="0025416E"/>
    <w:pPr>
      <w:ind w:left="720"/>
      <w:contextualSpacing/>
    </w:pPr>
  </w:style>
  <w:style w:type="character" w:styleId="Hyperlink">
    <w:name w:val="Hyperlink"/>
    <w:basedOn w:val="DefaultParagraphFont"/>
    <w:rsid w:val="00E97512"/>
    <w:rPr>
      <w:color w:val="0000FF" w:themeColor="hyperlink"/>
      <w:u w:val="single"/>
    </w:rPr>
  </w:style>
  <w:style w:type="table" w:styleId="Table3Deffects1">
    <w:name w:val="Table 3D effects 1"/>
    <w:basedOn w:val="TableNormal"/>
    <w:rsid w:val="00FB34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B34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9E63EB"/>
    <w:rPr>
      <w:sz w:val="20"/>
      <w:szCs w:val="20"/>
    </w:rPr>
  </w:style>
  <w:style w:type="character" w:customStyle="1" w:styleId="FootnoteTextChar">
    <w:name w:val="Footnote Text Char"/>
    <w:basedOn w:val="DefaultParagraphFont"/>
    <w:link w:val="FootnoteText"/>
    <w:rsid w:val="009E63EB"/>
  </w:style>
  <w:style w:type="character" w:styleId="FootnoteReference">
    <w:name w:val="footnote reference"/>
    <w:basedOn w:val="DefaultParagraphFont"/>
    <w:rsid w:val="009E63EB"/>
    <w:rPr>
      <w:vertAlign w:val="superscript"/>
    </w:rPr>
  </w:style>
  <w:style w:type="paragraph" w:customStyle="1" w:styleId="Default">
    <w:name w:val="Default"/>
    <w:rsid w:val="00FD5EFE"/>
    <w:pPr>
      <w:autoSpaceDE w:val="0"/>
      <w:autoSpaceDN w:val="0"/>
      <w:adjustRightInd w:val="0"/>
    </w:pPr>
    <w:rPr>
      <w:rFonts w:ascii="DTBKP P+ Humanist 777 BT" w:hAnsi="DTBKP P+ Humanist 777 BT" w:cs="DTBKP P+ Humanist 777 BT"/>
      <w:color w:val="000000"/>
      <w:sz w:val="24"/>
      <w:szCs w:val="24"/>
    </w:rPr>
  </w:style>
  <w:style w:type="character" w:customStyle="1" w:styleId="A4">
    <w:name w:val="A4"/>
    <w:uiPriority w:val="99"/>
    <w:rsid w:val="00FD5EFE"/>
    <w:rPr>
      <w:rFonts w:cs="DTBKP P+ Humanist 777 B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8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229EA-0181-435B-9DE5-A72585F5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1555</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Geoff</cp:lastModifiedBy>
  <cp:revision>3</cp:revision>
  <cp:lastPrinted>2016-03-16T16:13:00Z</cp:lastPrinted>
  <dcterms:created xsi:type="dcterms:W3CDTF">2016-03-16T16:41:00Z</dcterms:created>
  <dcterms:modified xsi:type="dcterms:W3CDTF">2016-03-16T16:42:00Z</dcterms:modified>
</cp:coreProperties>
</file>